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54" w:rsidRPr="00CA31AD" w:rsidRDefault="00902E54" w:rsidP="00902E54">
      <w:pPr>
        <w:spacing w:line="560" w:lineRule="exact"/>
        <w:ind w:firstLineChars="200" w:firstLine="640"/>
        <w:rPr>
          <w:rFonts w:ascii="仿宋" w:eastAsia="仿宋" w:hAnsi="仿宋" w:hint="eastAsia"/>
          <w:kern w:val="6"/>
          <w:szCs w:val="32"/>
        </w:rPr>
      </w:pPr>
      <w:r w:rsidRPr="00CA31AD">
        <w:rPr>
          <w:rFonts w:ascii="仿宋" w:eastAsia="仿宋" w:hAnsi="仿宋" w:hint="eastAsia"/>
          <w:kern w:val="6"/>
          <w:szCs w:val="32"/>
        </w:rPr>
        <w:t>附件</w:t>
      </w:r>
    </w:p>
    <w:p w:rsidR="00902E54" w:rsidRPr="00CA31AD" w:rsidRDefault="00902E54" w:rsidP="00902E54">
      <w:pPr>
        <w:spacing w:line="560" w:lineRule="exact"/>
        <w:ind w:firstLineChars="200" w:firstLine="640"/>
        <w:rPr>
          <w:rFonts w:ascii="仿宋" w:eastAsia="仿宋" w:hAnsi="仿宋" w:hint="eastAsia"/>
          <w:kern w:val="6"/>
          <w:szCs w:val="32"/>
        </w:rPr>
      </w:pPr>
    </w:p>
    <w:p w:rsidR="00902E54" w:rsidRPr="00CA31AD" w:rsidRDefault="00902E54" w:rsidP="00902E54">
      <w:pPr>
        <w:spacing w:line="560" w:lineRule="exact"/>
        <w:jc w:val="center"/>
        <w:rPr>
          <w:rFonts w:ascii="仿宋" w:eastAsia="仿宋" w:hAnsi="仿宋" w:hint="eastAsia"/>
          <w:kern w:val="6"/>
          <w:sz w:val="44"/>
          <w:szCs w:val="44"/>
        </w:rPr>
      </w:pPr>
      <w:r w:rsidRPr="00CA31AD">
        <w:rPr>
          <w:rFonts w:ascii="仿宋" w:eastAsia="仿宋" w:hAnsi="仿宋" w:hint="eastAsia"/>
          <w:kern w:val="6"/>
          <w:sz w:val="44"/>
          <w:szCs w:val="44"/>
        </w:rPr>
        <w:t>2015年度天津市教委重点调研课题指南</w:t>
      </w:r>
    </w:p>
    <w:p w:rsidR="00902E54" w:rsidRPr="00CA31AD" w:rsidRDefault="00902E54" w:rsidP="00902E54">
      <w:pPr>
        <w:spacing w:line="360" w:lineRule="auto"/>
        <w:jc w:val="center"/>
        <w:rPr>
          <w:rFonts w:ascii="仿宋" w:eastAsia="仿宋" w:hAnsi="仿宋" w:hint="eastAsia"/>
          <w:b/>
          <w:szCs w:val="32"/>
        </w:rPr>
      </w:pP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一、综合内容</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1. 关于创新法治人才培养机制的研究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2. 关于完善法治</w:t>
      </w:r>
      <w:r w:rsidRPr="00CA31AD">
        <w:rPr>
          <w:rFonts w:ascii="仿宋" w:eastAsia="仿宋" w:hAnsi="仿宋"/>
          <w:szCs w:val="32"/>
        </w:rPr>
        <w:t>教育</w:t>
      </w:r>
      <w:r w:rsidRPr="00CA31AD">
        <w:rPr>
          <w:rFonts w:ascii="仿宋" w:eastAsia="仿宋" w:hAnsi="仿宋" w:hint="eastAsia"/>
          <w:szCs w:val="32"/>
        </w:rPr>
        <w:t>长效机制的研究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3. 关于加强体验式德育载体建设的研究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4. 关于加强美丽校园建设的研究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5. 关于运用大数据分析学生思想状态的研究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6. 关于完善师德建设长效机制的研究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7. 关于建立教育部</w:t>
      </w:r>
      <w:proofErr w:type="gramStart"/>
      <w:r w:rsidRPr="00CA31AD">
        <w:rPr>
          <w:rFonts w:ascii="仿宋" w:eastAsia="仿宋" w:hAnsi="仿宋" w:hint="eastAsia"/>
          <w:szCs w:val="32"/>
        </w:rPr>
        <w:t>门</w:t>
      </w:r>
      <w:r w:rsidRPr="00CA31AD">
        <w:rPr>
          <w:rFonts w:ascii="仿宋" w:eastAsia="仿宋" w:hAnsi="仿宋"/>
          <w:szCs w:val="32"/>
        </w:rPr>
        <w:t>权力</w:t>
      </w:r>
      <w:proofErr w:type="gramEnd"/>
      <w:r w:rsidRPr="00CA31AD">
        <w:rPr>
          <w:rFonts w:ascii="仿宋" w:eastAsia="仿宋" w:hAnsi="仿宋"/>
          <w:szCs w:val="32"/>
        </w:rPr>
        <w:t>清单</w:t>
      </w:r>
      <w:r w:rsidRPr="00CA31AD">
        <w:rPr>
          <w:rFonts w:ascii="仿宋" w:eastAsia="仿宋" w:hAnsi="仿宋" w:hint="eastAsia"/>
          <w:szCs w:val="32"/>
        </w:rPr>
        <w:t>和职责清单</w:t>
      </w:r>
      <w:r w:rsidRPr="00CA31AD">
        <w:rPr>
          <w:rFonts w:ascii="仿宋" w:eastAsia="仿宋" w:hAnsi="仿宋"/>
          <w:szCs w:val="32"/>
        </w:rPr>
        <w:t>制度</w:t>
      </w:r>
      <w:r w:rsidRPr="00CA31AD">
        <w:rPr>
          <w:rFonts w:ascii="仿宋" w:eastAsia="仿宋" w:hAnsi="仿宋" w:hint="eastAsia"/>
          <w:szCs w:val="32"/>
        </w:rPr>
        <w:t>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8. 关于深化教育督导体制机制改革的研究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9. 关于完善学校内部治理结构的研究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10. 关于考试招生制度改革配套政策的研究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11. 关于加强京津</w:t>
      </w:r>
      <w:proofErr w:type="gramStart"/>
      <w:r w:rsidRPr="00CA31AD">
        <w:rPr>
          <w:rFonts w:ascii="仿宋" w:eastAsia="仿宋" w:hAnsi="仿宋" w:hint="eastAsia"/>
          <w:szCs w:val="32"/>
        </w:rPr>
        <w:t>冀教育</w:t>
      </w:r>
      <w:proofErr w:type="gramEnd"/>
      <w:r w:rsidRPr="00CA31AD">
        <w:rPr>
          <w:rFonts w:ascii="仿宋" w:eastAsia="仿宋" w:hAnsi="仿宋" w:hint="eastAsia"/>
          <w:szCs w:val="32"/>
        </w:rPr>
        <w:t>协同发展的研究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12. 关于发达地区教育政策的比较研究及对天津的启示</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13. 关于各省市教育领域综合改革政策措施的追踪研究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14. 关于经济发展新常态对教育的影响及应对策略研究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15. 关于重大国家战略和改革创新政策叠加对我市教育的影响及应对策略研究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lastRenderedPageBreak/>
        <w:t>16. 关于加强国际理解教育的研究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二、基础教育</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1. 关于我市义务教育免试就近入学政策追踪调查研究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 xml:space="preserve">2. </w:t>
      </w:r>
      <w:r w:rsidRPr="00CA31AD">
        <w:rPr>
          <w:rFonts w:ascii="仿宋" w:eastAsia="仿宋" w:hAnsi="仿宋" w:hint="eastAsia"/>
          <w:szCs w:val="32"/>
        </w:rPr>
        <w:t>关于开展中小学生课外素质拓展活动的研究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 xml:space="preserve">3. </w:t>
      </w:r>
      <w:r w:rsidRPr="00CA31AD">
        <w:rPr>
          <w:rFonts w:ascii="仿宋" w:eastAsia="仿宋" w:hAnsi="仿宋" w:hint="eastAsia"/>
          <w:color w:val="000000"/>
          <w:szCs w:val="32"/>
        </w:rPr>
        <w:t>关于</w:t>
      </w:r>
      <w:r w:rsidRPr="00CA31AD">
        <w:rPr>
          <w:rFonts w:ascii="仿宋" w:eastAsia="仿宋" w:hAnsi="仿宋" w:hint="eastAsia"/>
          <w:szCs w:val="32"/>
        </w:rPr>
        <w:t>义务教育教师校长交流轮岗保障机制的研究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4. 关于基础教育各学</w:t>
      </w:r>
      <w:proofErr w:type="gramStart"/>
      <w:r w:rsidRPr="00CA31AD">
        <w:rPr>
          <w:rFonts w:ascii="仿宋" w:eastAsia="仿宋" w:hAnsi="仿宋" w:hint="eastAsia"/>
          <w:szCs w:val="32"/>
        </w:rPr>
        <w:t>段教育</w:t>
      </w:r>
      <w:proofErr w:type="gramEnd"/>
      <w:r w:rsidRPr="00CA31AD">
        <w:rPr>
          <w:rFonts w:ascii="仿宋" w:eastAsia="仿宋" w:hAnsi="仿宋" w:hint="eastAsia"/>
          <w:szCs w:val="32"/>
        </w:rPr>
        <w:t>衔接实践的研究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5. 关于完善</w:t>
      </w:r>
      <w:r w:rsidRPr="00CA31AD">
        <w:rPr>
          <w:rFonts w:ascii="仿宋" w:eastAsia="仿宋" w:hAnsi="仿宋" w:hint="eastAsia"/>
          <w:color w:val="000000"/>
          <w:szCs w:val="32"/>
        </w:rPr>
        <w:t>中小学综合素质评价制度的研究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6. 关于中小学教育质量综合评价改革的研究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7. 关于加强学区</w:t>
      </w:r>
      <w:proofErr w:type="gramStart"/>
      <w:r w:rsidRPr="00CA31AD">
        <w:rPr>
          <w:rFonts w:ascii="仿宋" w:eastAsia="仿宋" w:hAnsi="仿宋" w:hint="eastAsia"/>
          <w:szCs w:val="32"/>
        </w:rPr>
        <w:t>片规划</w:t>
      </w:r>
      <w:proofErr w:type="gramEnd"/>
      <w:r w:rsidRPr="00CA31AD">
        <w:rPr>
          <w:rFonts w:ascii="仿宋" w:eastAsia="仿宋" w:hAnsi="仿宋" w:hint="eastAsia"/>
          <w:szCs w:val="32"/>
        </w:rPr>
        <w:t>建设的研究</w:t>
      </w:r>
    </w:p>
    <w:p w:rsidR="00902E54" w:rsidRPr="00CA31AD" w:rsidRDefault="00902E54" w:rsidP="00902E54">
      <w:pPr>
        <w:adjustRightInd w:val="0"/>
        <w:snapToGrid w:val="0"/>
        <w:spacing w:line="560" w:lineRule="exact"/>
        <w:ind w:firstLine="646"/>
        <w:rPr>
          <w:rFonts w:ascii="仿宋" w:eastAsia="仿宋" w:hAnsi="仿宋" w:cs="Arial" w:hint="eastAsia"/>
          <w:szCs w:val="32"/>
        </w:rPr>
      </w:pPr>
      <w:r w:rsidRPr="00CA31AD">
        <w:rPr>
          <w:rFonts w:ascii="仿宋" w:eastAsia="仿宋" w:hAnsi="仿宋" w:cs="Arial" w:hint="eastAsia"/>
          <w:szCs w:val="32"/>
        </w:rPr>
        <w:t xml:space="preserve">8. </w:t>
      </w:r>
      <w:r w:rsidRPr="00CA31AD">
        <w:rPr>
          <w:rFonts w:ascii="仿宋" w:eastAsia="仿宋" w:hAnsi="仿宋" w:hint="eastAsia"/>
          <w:szCs w:val="32"/>
        </w:rPr>
        <w:t>关于农村幼儿教师补充机制的研究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9. 关于开展学前教育视导工作的研究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10. 关于特色高中建设的研究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11. 关于深化普通高中课程改革的研究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12. 关于提升特殊教育办学水平和教育质量的研究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13. 关于基础教育信息化技术支持、网络运行和安全保障机制的研究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14. 关于提升教师信息化应用能力的研究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15. 关于加强基础教育教师研习实践基地建设的研究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16. 关于推进基础教育教研机制转型的研究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三、职业教育</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1. 关于构建天津现代职业教育体系的研究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color w:val="000000"/>
          <w:szCs w:val="32"/>
        </w:rPr>
        <w:t>2. 关于</w:t>
      </w:r>
      <w:r w:rsidRPr="00CA31AD">
        <w:rPr>
          <w:rFonts w:ascii="仿宋" w:eastAsia="仿宋" w:hAnsi="仿宋" w:hint="eastAsia"/>
          <w:szCs w:val="32"/>
        </w:rPr>
        <w:t>新一轮职业教育改革创新示范区建设的研究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3. 关于应用技术大学建设的研究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4. 关于加快天津开放大学建设的研究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lastRenderedPageBreak/>
        <w:t>5. 关于完善我市职业院校办学体制机制的研究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6. 关于</w:t>
      </w:r>
      <w:r w:rsidRPr="00CA31AD">
        <w:rPr>
          <w:rFonts w:ascii="仿宋" w:eastAsia="仿宋" w:hAnsi="仿宋" w:hint="eastAsia"/>
          <w:szCs w:val="32"/>
        </w:rPr>
        <w:t>探索发展股份制、混合所有制职业院校</w:t>
      </w:r>
      <w:r w:rsidRPr="00CA31AD">
        <w:rPr>
          <w:rFonts w:ascii="仿宋" w:eastAsia="仿宋" w:hAnsi="仿宋" w:hint="eastAsia"/>
          <w:color w:val="000000"/>
          <w:szCs w:val="32"/>
        </w:rPr>
        <w:t>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7. 关于</w:t>
      </w:r>
      <w:proofErr w:type="gramStart"/>
      <w:r w:rsidRPr="00CA31AD">
        <w:rPr>
          <w:rFonts w:ascii="仿宋" w:eastAsia="仿宋" w:hAnsi="仿宋" w:hint="eastAsia"/>
          <w:color w:val="000000"/>
          <w:szCs w:val="32"/>
        </w:rPr>
        <w:t>完善产</w:t>
      </w:r>
      <w:proofErr w:type="gramEnd"/>
      <w:r w:rsidRPr="00CA31AD">
        <w:rPr>
          <w:rFonts w:ascii="仿宋" w:eastAsia="仿宋" w:hAnsi="仿宋" w:hint="eastAsia"/>
          <w:color w:val="000000"/>
          <w:szCs w:val="32"/>
        </w:rPr>
        <w:t>教融合校企合作机制的研究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color w:val="000000"/>
          <w:szCs w:val="32"/>
        </w:rPr>
        <w:t xml:space="preserve">8. </w:t>
      </w:r>
      <w:r w:rsidRPr="00CA31AD">
        <w:rPr>
          <w:rFonts w:ascii="仿宋" w:eastAsia="仿宋" w:hAnsi="仿宋" w:hint="eastAsia"/>
          <w:szCs w:val="32"/>
        </w:rPr>
        <w:t>关于发挥全国职业院校技能大赛引领作用的研究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color w:val="000000"/>
          <w:szCs w:val="32"/>
        </w:rPr>
        <w:t xml:space="preserve">9. </w:t>
      </w:r>
      <w:r w:rsidRPr="00CA31AD">
        <w:rPr>
          <w:rFonts w:ascii="仿宋" w:eastAsia="仿宋" w:hAnsi="仿宋" w:hint="eastAsia"/>
          <w:szCs w:val="32"/>
        </w:rPr>
        <w:t>关于实施百万技能人才培训福利计划的研究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10. 关于</w:t>
      </w:r>
      <w:r w:rsidRPr="00CA31AD">
        <w:rPr>
          <w:rFonts w:ascii="仿宋" w:eastAsia="仿宋" w:hAnsi="仿宋" w:hint="eastAsia"/>
          <w:szCs w:val="32"/>
        </w:rPr>
        <w:t>促进学历教育与社会培训有效衔接</w:t>
      </w:r>
      <w:r w:rsidRPr="00CA31AD">
        <w:rPr>
          <w:rFonts w:ascii="仿宋" w:eastAsia="仿宋" w:hAnsi="仿宋" w:hint="eastAsia"/>
          <w:color w:val="000000"/>
          <w:szCs w:val="32"/>
        </w:rPr>
        <w:t>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11. 关于</w:t>
      </w:r>
      <w:r w:rsidRPr="00CA31AD">
        <w:rPr>
          <w:rFonts w:ascii="仿宋" w:eastAsia="仿宋" w:hAnsi="仿宋" w:hint="eastAsia"/>
          <w:szCs w:val="32"/>
        </w:rPr>
        <w:t>加强职业教育课程教材体系建设</w:t>
      </w:r>
      <w:r w:rsidRPr="00CA31AD">
        <w:rPr>
          <w:rFonts w:ascii="仿宋" w:eastAsia="仿宋" w:hAnsi="仿宋" w:hint="eastAsia"/>
          <w:color w:val="000000"/>
          <w:szCs w:val="32"/>
        </w:rPr>
        <w:t>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12. 关于</w:t>
      </w:r>
      <w:r w:rsidRPr="00CA31AD">
        <w:rPr>
          <w:rFonts w:ascii="仿宋" w:eastAsia="仿宋" w:hAnsi="仿宋" w:hint="eastAsia"/>
          <w:szCs w:val="32"/>
        </w:rPr>
        <w:t>完善职业教育经费投入增长机制</w:t>
      </w:r>
      <w:r w:rsidRPr="00CA31AD">
        <w:rPr>
          <w:rFonts w:ascii="仿宋" w:eastAsia="仿宋" w:hAnsi="仿宋" w:hint="eastAsia"/>
          <w:color w:val="000000"/>
          <w:szCs w:val="32"/>
        </w:rPr>
        <w:t>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13. 关于</w:t>
      </w:r>
      <w:r w:rsidRPr="00CA31AD">
        <w:rPr>
          <w:rFonts w:ascii="仿宋" w:eastAsia="仿宋" w:hAnsi="仿宋" w:hint="eastAsia"/>
          <w:szCs w:val="32"/>
        </w:rPr>
        <w:t>加强职业院校数字化优质教学资源共享服务平台建设</w:t>
      </w:r>
      <w:r w:rsidRPr="00CA31AD">
        <w:rPr>
          <w:rFonts w:ascii="仿宋" w:eastAsia="仿宋" w:hAnsi="仿宋" w:hint="eastAsia"/>
          <w:color w:val="000000"/>
          <w:szCs w:val="32"/>
        </w:rPr>
        <w:t>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14. 关于终身学习成果认定</w:t>
      </w:r>
      <w:r w:rsidRPr="00CA31AD">
        <w:rPr>
          <w:rFonts w:ascii="仿宋" w:eastAsia="仿宋" w:hAnsi="仿宋" w:hint="eastAsia"/>
          <w:szCs w:val="32"/>
        </w:rPr>
        <w:t>转换机制</w:t>
      </w:r>
      <w:r w:rsidRPr="00CA31AD">
        <w:rPr>
          <w:rFonts w:ascii="仿宋" w:eastAsia="仿宋" w:hAnsi="仿宋" w:hint="eastAsia"/>
          <w:color w:val="000000"/>
          <w:szCs w:val="32"/>
        </w:rPr>
        <w:t>的研究。</w:t>
      </w:r>
    </w:p>
    <w:p w:rsidR="00902E54" w:rsidRPr="00CA31AD" w:rsidRDefault="00902E54" w:rsidP="00902E54">
      <w:pPr>
        <w:adjustRightInd w:val="0"/>
        <w:spacing w:line="560" w:lineRule="exact"/>
        <w:ind w:firstLine="646"/>
        <w:rPr>
          <w:rFonts w:ascii="仿宋" w:eastAsia="仿宋" w:hAnsi="仿宋" w:hint="eastAsia"/>
          <w:szCs w:val="32"/>
        </w:rPr>
      </w:pPr>
      <w:r w:rsidRPr="00CA31AD">
        <w:rPr>
          <w:rFonts w:ascii="仿宋" w:eastAsia="仿宋" w:hAnsi="仿宋" w:hint="eastAsia"/>
          <w:szCs w:val="32"/>
        </w:rPr>
        <w:t>四、高等教育</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1. 关于</w:t>
      </w:r>
      <w:r w:rsidRPr="00CA31AD">
        <w:rPr>
          <w:rFonts w:ascii="仿宋" w:eastAsia="仿宋" w:hAnsi="仿宋" w:hint="eastAsia"/>
          <w:szCs w:val="32"/>
        </w:rPr>
        <w:t>推进高校综合改革</w:t>
      </w:r>
      <w:r w:rsidRPr="00CA31AD">
        <w:rPr>
          <w:rFonts w:ascii="仿宋" w:eastAsia="仿宋" w:hAnsi="仿宋" w:hint="eastAsia"/>
          <w:color w:val="000000"/>
          <w:szCs w:val="32"/>
        </w:rPr>
        <w:t>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2. 关于</w:t>
      </w:r>
      <w:r w:rsidRPr="00CA31AD">
        <w:rPr>
          <w:rFonts w:ascii="仿宋" w:eastAsia="仿宋" w:hAnsi="仿宋" w:hint="eastAsia"/>
          <w:szCs w:val="32"/>
        </w:rPr>
        <w:t>高校分类管理、分类指导、分类评价机制的研究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color w:val="000000"/>
          <w:szCs w:val="32"/>
        </w:rPr>
        <w:t>3. 关于</w:t>
      </w:r>
      <w:r w:rsidRPr="00CA31AD">
        <w:rPr>
          <w:rFonts w:ascii="仿宋" w:eastAsia="仿宋" w:hAnsi="仿宋" w:hint="eastAsia"/>
          <w:szCs w:val="32"/>
        </w:rPr>
        <w:t>市属高校转型发展的研究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color w:val="000000"/>
          <w:szCs w:val="32"/>
        </w:rPr>
        <w:t>4. 关于</w:t>
      </w:r>
      <w:r w:rsidRPr="00CA31AD">
        <w:rPr>
          <w:rFonts w:ascii="仿宋" w:eastAsia="仿宋" w:hAnsi="仿宋" w:hint="eastAsia"/>
          <w:szCs w:val="32"/>
        </w:rPr>
        <w:t>“十三五”高校综合投资规划的研究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color w:val="000000"/>
          <w:szCs w:val="32"/>
        </w:rPr>
        <w:t>5. 关于</w:t>
      </w:r>
      <w:r w:rsidRPr="00CA31AD">
        <w:rPr>
          <w:rFonts w:ascii="仿宋" w:eastAsia="仿宋" w:hAnsi="仿宋" w:hint="eastAsia"/>
          <w:szCs w:val="32"/>
        </w:rPr>
        <w:t>完善本科教学质量保障体系的研究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szCs w:val="32"/>
        </w:rPr>
        <w:t xml:space="preserve">6. </w:t>
      </w:r>
      <w:r w:rsidRPr="00CA31AD">
        <w:rPr>
          <w:rFonts w:ascii="仿宋" w:eastAsia="仿宋" w:hAnsi="仿宋" w:hint="eastAsia"/>
          <w:color w:val="000000"/>
          <w:szCs w:val="32"/>
        </w:rPr>
        <w:t>关于高校</w:t>
      </w:r>
      <w:r w:rsidRPr="00CA31AD">
        <w:rPr>
          <w:rFonts w:ascii="仿宋" w:eastAsia="仿宋" w:hAnsi="仿宋" w:hint="eastAsia"/>
          <w:szCs w:val="32"/>
        </w:rPr>
        <w:t>学科建设绩效动态监测机制的研究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7. 关于完善高校实践教学体系的研究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szCs w:val="32"/>
        </w:rPr>
        <w:t>8. 关于深化研究生教育综合改革的研究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 xml:space="preserve">9. </w:t>
      </w:r>
      <w:r w:rsidRPr="00CA31AD">
        <w:rPr>
          <w:rFonts w:ascii="仿宋" w:eastAsia="仿宋" w:hAnsi="仿宋" w:hint="eastAsia"/>
          <w:szCs w:val="32"/>
        </w:rPr>
        <w:t>关于大规模在线课程（慕课）教学模式的研究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color w:val="000000"/>
          <w:szCs w:val="32"/>
        </w:rPr>
        <w:t>10. 关于</w:t>
      </w:r>
      <w:r w:rsidRPr="00CA31AD">
        <w:rPr>
          <w:rFonts w:ascii="仿宋" w:eastAsia="仿宋" w:hAnsi="仿宋" w:hint="eastAsia"/>
          <w:szCs w:val="32"/>
        </w:rPr>
        <w:t>建立高校科研成果转化经纪人制度的研究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color w:val="000000"/>
          <w:szCs w:val="32"/>
        </w:rPr>
        <w:t>11. 关于</w:t>
      </w:r>
      <w:r w:rsidRPr="00CA31AD">
        <w:rPr>
          <w:rFonts w:ascii="仿宋" w:eastAsia="仿宋" w:hAnsi="仿宋" w:hint="eastAsia"/>
          <w:szCs w:val="32"/>
        </w:rPr>
        <w:t>高校科技创新评价改革的研究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szCs w:val="32"/>
        </w:rPr>
        <w:lastRenderedPageBreak/>
        <w:t xml:space="preserve">12. </w:t>
      </w:r>
      <w:r w:rsidRPr="00CA31AD">
        <w:rPr>
          <w:rFonts w:ascii="仿宋" w:eastAsia="仿宋" w:hAnsi="仿宋" w:hint="eastAsia"/>
          <w:color w:val="000000"/>
          <w:szCs w:val="32"/>
        </w:rPr>
        <w:t>关于高校教师分类管理机制的研究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13. 关于完善高层次人才引进和培养机制的研究</w:t>
      </w:r>
    </w:p>
    <w:p w:rsidR="00902E54" w:rsidRPr="00CA31AD" w:rsidRDefault="00902E54" w:rsidP="00902E54">
      <w:pPr>
        <w:adjustRightInd w:val="0"/>
        <w:snapToGrid w:val="0"/>
        <w:spacing w:line="560" w:lineRule="exact"/>
        <w:ind w:firstLine="646"/>
        <w:rPr>
          <w:rFonts w:ascii="仿宋" w:eastAsia="仿宋" w:hAnsi="仿宋" w:hint="eastAsia"/>
          <w:szCs w:val="32"/>
        </w:rPr>
      </w:pPr>
      <w:r w:rsidRPr="00CA31AD">
        <w:rPr>
          <w:rFonts w:ascii="仿宋" w:eastAsia="仿宋" w:hAnsi="仿宋" w:hint="eastAsia"/>
          <w:color w:val="000000"/>
          <w:szCs w:val="32"/>
        </w:rPr>
        <w:t xml:space="preserve">14. </w:t>
      </w:r>
      <w:r w:rsidRPr="00CA31AD">
        <w:rPr>
          <w:rFonts w:ascii="仿宋" w:eastAsia="仿宋" w:hAnsi="仿宋" w:hint="eastAsia"/>
          <w:szCs w:val="32"/>
        </w:rPr>
        <w:t>关于完善大学生就业创业机制的研究</w:t>
      </w:r>
    </w:p>
    <w:p w:rsidR="00902E54" w:rsidRPr="00CA31AD" w:rsidRDefault="00902E54" w:rsidP="00902E54">
      <w:pPr>
        <w:adjustRightInd w:val="0"/>
        <w:snapToGrid w:val="0"/>
        <w:spacing w:line="560" w:lineRule="exact"/>
        <w:ind w:firstLine="646"/>
        <w:rPr>
          <w:rFonts w:ascii="仿宋" w:eastAsia="仿宋" w:hAnsi="仿宋" w:hint="eastAsia"/>
          <w:color w:val="000000"/>
          <w:szCs w:val="32"/>
        </w:rPr>
      </w:pPr>
      <w:r w:rsidRPr="00CA31AD">
        <w:rPr>
          <w:rFonts w:ascii="仿宋" w:eastAsia="仿宋" w:hAnsi="仿宋" w:hint="eastAsia"/>
          <w:color w:val="000000"/>
          <w:szCs w:val="32"/>
        </w:rPr>
        <w:t>15. 关于现代大学制度建设的研究</w:t>
      </w:r>
    </w:p>
    <w:p w:rsidR="00902E54" w:rsidRPr="00CA31AD" w:rsidRDefault="00902E54" w:rsidP="00902E54">
      <w:pPr>
        <w:spacing w:line="560" w:lineRule="exact"/>
        <w:jc w:val="center"/>
        <w:rPr>
          <w:rFonts w:ascii="仿宋" w:eastAsia="仿宋" w:hAnsi="仿宋" w:hint="eastAsia"/>
          <w:kern w:val="6"/>
          <w:sz w:val="44"/>
          <w:szCs w:val="44"/>
        </w:rPr>
      </w:pPr>
    </w:p>
    <w:p w:rsidR="007B13BD" w:rsidRPr="00902E54" w:rsidRDefault="007B13BD">
      <w:bookmarkStart w:id="0" w:name="_GoBack"/>
      <w:bookmarkEnd w:id="0"/>
    </w:p>
    <w:sectPr w:rsidR="007B13BD" w:rsidRPr="00902E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00" w:rsidRDefault="00BE2200" w:rsidP="00902E54">
      <w:r>
        <w:separator/>
      </w:r>
    </w:p>
  </w:endnote>
  <w:endnote w:type="continuationSeparator" w:id="0">
    <w:p w:rsidR="00BE2200" w:rsidRDefault="00BE2200" w:rsidP="0090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00" w:rsidRDefault="00BE2200" w:rsidP="00902E54">
      <w:r>
        <w:separator/>
      </w:r>
    </w:p>
  </w:footnote>
  <w:footnote w:type="continuationSeparator" w:id="0">
    <w:p w:rsidR="00BE2200" w:rsidRDefault="00BE2200" w:rsidP="00902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43"/>
    <w:rsid w:val="00001024"/>
    <w:rsid w:val="000025CB"/>
    <w:rsid w:val="000030EF"/>
    <w:rsid w:val="00007AF4"/>
    <w:rsid w:val="00024936"/>
    <w:rsid w:val="000337E5"/>
    <w:rsid w:val="000459D7"/>
    <w:rsid w:val="0004684E"/>
    <w:rsid w:val="00052C08"/>
    <w:rsid w:val="00066599"/>
    <w:rsid w:val="00072867"/>
    <w:rsid w:val="000740B2"/>
    <w:rsid w:val="000819CF"/>
    <w:rsid w:val="000A3FA6"/>
    <w:rsid w:val="000A71E1"/>
    <w:rsid w:val="000A7A1F"/>
    <w:rsid w:val="000C5696"/>
    <w:rsid w:val="000D1449"/>
    <w:rsid w:val="000D52EE"/>
    <w:rsid w:val="000E5F1E"/>
    <w:rsid w:val="000F7367"/>
    <w:rsid w:val="00110460"/>
    <w:rsid w:val="001162B9"/>
    <w:rsid w:val="001246D1"/>
    <w:rsid w:val="00132229"/>
    <w:rsid w:val="00135FD2"/>
    <w:rsid w:val="00142EA3"/>
    <w:rsid w:val="00144221"/>
    <w:rsid w:val="00153149"/>
    <w:rsid w:val="001629D7"/>
    <w:rsid w:val="001722FB"/>
    <w:rsid w:val="00174FD8"/>
    <w:rsid w:val="00176EBE"/>
    <w:rsid w:val="001D1AE2"/>
    <w:rsid w:val="001D7B9A"/>
    <w:rsid w:val="001E2108"/>
    <w:rsid w:val="001F30AC"/>
    <w:rsid w:val="002163BD"/>
    <w:rsid w:val="00224279"/>
    <w:rsid w:val="002276DF"/>
    <w:rsid w:val="00247B0E"/>
    <w:rsid w:val="00251292"/>
    <w:rsid w:val="00262782"/>
    <w:rsid w:val="00277DCA"/>
    <w:rsid w:val="0028525C"/>
    <w:rsid w:val="002913A9"/>
    <w:rsid w:val="002C09F2"/>
    <w:rsid w:val="002C1BA9"/>
    <w:rsid w:val="002C5282"/>
    <w:rsid w:val="002E482A"/>
    <w:rsid w:val="002F0E0F"/>
    <w:rsid w:val="002F3752"/>
    <w:rsid w:val="00304507"/>
    <w:rsid w:val="003059A0"/>
    <w:rsid w:val="00311690"/>
    <w:rsid w:val="003231E0"/>
    <w:rsid w:val="0032430E"/>
    <w:rsid w:val="00343F68"/>
    <w:rsid w:val="003527C4"/>
    <w:rsid w:val="0036339D"/>
    <w:rsid w:val="0036534F"/>
    <w:rsid w:val="00367194"/>
    <w:rsid w:val="0036741B"/>
    <w:rsid w:val="00373A7D"/>
    <w:rsid w:val="003834A4"/>
    <w:rsid w:val="00386A49"/>
    <w:rsid w:val="00392D82"/>
    <w:rsid w:val="00397191"/>
    <w:rsid w:val="003A4117"/>
    <w:rsid w:val="003A6CD3"/>
    <w:rsid w:val="003B1616"/>
    <w:rsid w:val="003B47D3"/>
    <w:rsid w:val="003D13E0"/>
    <w:rsid w:val="003E0243"/>
    <w:rsid w:val="003E598E"/>
    <w:rsid w:val="003F434B"/>
    <w:rsid w:val="003F5B1B"/>
    <w:rsid w:val="00413BEA"/>
    <w:rsid w:val="004430BC"/>
    <w:rsid w:val="00452F68"/>
    <w:rsid w:val="0045445D"/>
    <w:rsid w:val="00465D6D"/>
    <w:rsid w:val="00467EC3"/>
    <w:rsid w:val="00470366"/>
    <w:rsid w:val="004940F3"/>
    <w:rsid w:val="004951F9"/>
    <w:rsid w:val="004C099A"/>
    <w:rsid w:val="004C7289"/>
    <w:rsid w:val="004D0DB9"/>
    <w:rsid w:val="004D29E9"/>
    <w:rsid w:val="004E1006"/>
    <w:rsid w:val="00502604"/>
    <w:rsid w:val="0055239F"/>
    <w:rsid w:val="00556C7A"/>
    <w:rsid w:val="005706B3"/>
    <w:rsid w:val="0059115C"/>
    <w:rsid w:val="0059589E"/>
    <w:rsid w:val="005A5A1A"/>
    <w:rsid w:val="005B53B1"/>
    <w:rsid w:val="005B7161"/>
    <w:rsid w:val="005D5B1D"/>
    <w:rsid w:val="005D7AE4"/>
    <w:rsid w:val="00614577"/>
    <w:rsid w:val="006209F9"/>
    <w:rsid w:val="00624BB8"/>
    <w:rsid w:val="00661906"/>
    <w:rsid w:val="00684F33"/>
    <w:rsid w:val="00691884"/>
    <w:rsid w:val="0069239C"/>
    <w:rsid w:val="006A4309"/>
    <w:rsid w:val="006A45D5"/>
    <w:rsid w:val="006A666C"/>
    <w:rsid w:val="006D1E5E"/>
    <w:rsid w:val="006D1F7F"/>
    <w:rsid w:val="006D317E"/>
    <w:rsid w:val="006D41A2"/>
    <w:rsid w:val="006D515A"/>
    <w:rsid w:val="006D637F"/>
    <w:rsid w:val="006E4817"/>
    <w:rsid w:val="00703A20"/>
    <w:rsid w:val="00731D4B"/>
    <w:rsid w:val="00744A9C"/>
    <w:rsid w:val="00746504"/>
    <w:rsid w:val="007546BC"/>
    <w:rsid w:val="0075502D"/>
    <w:rsid w:val="00764874"/>
    <w:rsid w:val="00766DCE"/>
    <w:rsid w:val="007736C1"/>
    <w:rsid w:val="00784FD9"/>
    <w:rsid w:val="00796DF1"/>
    <w:rsid w:val="007B13BD"/>
    <w:rsid w:val="007B1A3F"/>
    <w:rsid w:val="007D2B9B"/>
    <w:rsid w:val="007D4C63"/>
    <w:rsid w:val="007E2361"/>
    <w:rsid w:val="007E46E9"/>
    <w:rsid w:val="007F055D"/>
    <w:rsid w:val="007F0756"/>
    <w:rsid w:val="007F701A"/>
    <w:rsid w:val="008032B2"/>
    <w:rsid w:val="00811AFE"/>
    <w:rsid w:val="00815CAB"/>
    <w:rsid w:val="00820124"/>
    <w:rsid w:val="0083250D"/>
    <w:rsid w:val="00843757"/>
    <w:rsid w:val="00853801"/>
    <w:rsid w:val="00857E04"/>
    <w:rsid w:val="008666A2"/>
    <w:rsid w:val="00884D0A"/>
    <w:rsid w:val="00895D30"/>
    <w:rsid w:val="00896E20"/>
    <w:rsid w:val="00897EE6"/>
    <w:rsid w:val="008A1AC7"/>
    <w:rsid w:val="008D40E0"/>
    <w:rsid w:val="008E2029"/>
    <w:rsid w:val="008F1BD3"/>
    <w:rsid w:val="008F32C3"/>
    <w:rsid w:val="00902E54"/>
    <w:rsid w:val="00906A8F"/>
    <w:rsid w:val="00907463"/>
    <w:rsid w:val="00910946"/>
    <w:rsid w:val="009254ED"/>
    <w:rsid w:val="009325AD"/>
    <w:rsid w:val="009358A9"/>
    <w:rsid w:val="00940F43"/>
    <w:rsid w:val="00945417"/>
    <w:rsid w:val="00952483"/>
    <w:rsid w:val="00952883"/>
    <w:rsid w:val="009638A9"/>
    <w:rsid w:val="009674DA"/>
    <w:rsid w:val="0097391E"/>
    <w:rsid w:val="009779FB"/>
    <w:rsid w:val="0098047C"/>
    <w:rsid w:val="00987EDB"/>
    <w:rsid w:val="00994CC1"/>
    <w:rsid w:val="009A3056"/>
    <w:rsid w:val="009B1868"/>
    <w:rsid w:val="009B2317"/>
    <w:rsid w:val="009C215B"/>
    <w:rsid w:val="009E2CF5"/>
    <w:rsid w:val="009E4F00"/>
    <w:rsid w:val="00A1015A"/>
    <w:rsid w:val="00A17103"/>
    <w:rsid w:val="00A25C33"/>
    <w:rsid w:val="00A264DC"/>
    <w:rsid w:val="00A31507"/>
    <w:rsid w:val="00A528F6"/>
    <w:rsid w:val="00A64DD7"/>
    <w:rsid w:val="00A66642"/>
    <w:rsid w:val="00A76E2F"/>
    <w:rsid w:val="00A97FF2"/>
    <w:rsid w:val="00AB6B51"/>
    <w:rsid w:val="00AB75FB"/>
    <w:rsid w:val="00AC55AC"/>
    <w:rsid w:val="00AD4A06"/>
    <w:rsid w:val="00AD53A6"/>
    <w:rsid w:val="00AE6E57"/>
    <w:rsid w:val="00AE74BD"/>
    <w:rsid w:val="00AF4390"/>
    <w:rsid w:val="00B01EC9"/>
    <w:rsid w:val="00B0491A"/>
    <w:rsid w:val="00B04F5C"/>
    <w:rsid w:val="00B17AE4"/>
    <w:rsid w:val="00B34575"/>
    <w:rsid w:val="00B34771"/>
    <w:rsid w:val="00B43BC1"/>
    <w:rsid w:val="00B45FE7"/>
    <w:rsid w:val="00B54375"/>
    <w:rsid w:val="00B61AD3"/>
    <w:rsid w:val="00B66018"/>
    <w:rsid w:val="00B676D3"/>
    <w:rsid w:val="00B7377D"/>
    <w:rsid w:val="00B84B99"/>
    <w:rsid w:val="00B85A8A"/>
    <w:rsid w:val="00BA1EB4"/>
    <w:rsid w:val="00BB4E6F"/>
    <w:rsid w:val="00BC1E87"/>
    <w:rsid w:val="00BC62E4"/>
    <w:rsid w:val="00BE1CE7"/>
    <w:rsid w:val="00BE2200"/>
    <w:rsid w:val="00BE2EB5"/>
    <w:rsid w:val="00BF78C0"/>
    <w:rsid w:val="00C2418F"/>
    <w:rsid w:val="00C25F9F"/>
    <w:rsid w:val="00C26F08"/>
    <w:rsid w:val="00C35A2B"/>
    <w:rsid w:val="00C417D1"/>
    <w:rsid w:val="00C41F9B"/>
    <w:rsid w:val="00C502CF"/>
    <w:rsid w:val="00C535EE"/>
    <w:rsid w:val="00C54C25"/>
    <w:rsid w:val="00C7789D"/>
    <w:rsid w:val="00C77D04"/>
    <w:rsid w:val="00C84E2B"/>
    <w:rsid w:val="00C9206F"/>
    <w:rsid w:val="00C939A0"/>
    <w:rsid w:val="00CA502D"/>
    <w:rsid w:val="00CD404E"/>
    <w:rsid w:val="00CD458A"/>
    <w:rsid w:val="00CF300F"/>
    <w:rsid w:val="00D03E1A"/>
    <w:rsid w:val="00D03E7F"/>
    <w:rsid w:val="00D0634E"/>
    <w:rsid w:val="00D07CC0"/>
    <w:rsid w:val="00D13B56"/>
    <w:rsid w:val="00D2394A"/>
    <w:rsid w:val="00D32EC1"/>
    <w:rsid w:val="00D36EDD"/>
    <w:rsid w:val="00D53669"/>
    <w:rsid w:val="00D61495"/>
    <w:rsid w:val="00D66125"/>
    <w:rsid w:val="00D80F0E"/>
    <w:rsid w:val="00D85903"/>
    <w:rsid w:val="00DB1305"/>
    <w:rsid w:val="00DB38BE"/>
    <w:rsid w:val="00DC31D9"/>
    <w:rsid w:val="00DC3E36"/>
    <w:rsid w:val="00DC7CFC"/>
    <w:rsid w:val="00DD0E70"/>
    <w:rsid w:val="00DD7862"/>
    <w:rsid w:val="00DF771B"/>
    <w:rsid w:val="00E026AC"/>
    <w:rsid w:val="00E11F9E"/>
    <w:rsid w:val="00E1583B"/>
    <w:rsid w:val="00E2144D"/>
    <w:rsid w:val="00E238CF"/>
    <w:rsid w:val="00E26B21"/>
    <w:rsid w:val="00E317EB"/>
    <w:rsid w:val="00E352F9"/>
    <w:rsid w:val="00E475B4"/>
    <w:rsid w:val="00E50566"/>
    <w:rsid w:val="00E548DD"/>
    <w:rsid w:val="00E57CBE"/>
    <w:rsid w:val="00E66AB6"/>
    <w:rsid w:val="00E73B74"/>
    <w:rsid w:val="00E91793"/>
    <w:rsid w:val="00E9196A"/>
    <w:rsid w:val="00E93124"/>
    <w:rsid w:val="00EA132B"/>
    <w:rsid w:val="00EB279A"/>
    <w:rsid w:val="00EC0A85"/>
    <w:rsid w:val="00ED0B23"/>
    <w:rsid w:val="00EE344F"/>
    <w:rsid w:val="00EE3DC3"/>
    <w:rsid w:val="00EE6746"/>
    <w:rsid w:val="00F02E5F"/>
    <w:rsid w:val="00F03F6E"/>
    <w:rsid w:val="00F326D4"/>
    <w:rsid w:val="00F33084"/>
    <w:rsid w:val="00F34574"/>
    <w:rsid w:val="00F509C1"/>
    <w:rsid w:val="00F53249"/>
    <w:rsid w:val="00F7059A"/>
    <w:rsid w:val="00F767CB"/>
    <w:rsid w:val="00F76AD9"/>
    <w:rsid w:val="00F803F3"/>
    <w:rsid w:val="00FA46A2"/>
    <w:rsid w:val="00FA47C9"/>
    <w:rsid w:val="00FA56B3"/>
    <w:rsid w:val="00FA5AC6"/>
    <w:rsid w:val="00FA6804"/>
    <w:rsid w:val="00FA6DC2"/>
    <w:rsid w:val="00FC149E"/>
    <w:rsid w:val="00FC31C3"/>
    <w:rsid w:val="00FC589E"/>
    <w:rsid w:val="00FD4498"/>
    <w:rsid w:val="00FD4588"/>
    <w:rsid w:val="00FD72BF"/>
    <w:rsid w:val="00FE2ACF"/>
    <w:rsid w:val="00FF0A00"/>
    <w:rsid w:val="00FF3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54"/>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E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2E54"/>
    <w:rPr>
      <w:sz w:val="18"/>
      <w:szCs w:val="18"/>
    </w:rPr>
  </w:style>
  <w:style w:type="paragraph" w:styleId="a4">
    <w:name w:val="footer"/>
    <w:basedOn w:val="a"/>
    <w:link w:val="Char0"/>
    <w:uiPriority w:val="99"/>
    <w:unhideWhenUsed/>
    <w:rsid w:val="00902E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2E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54"/>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E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2E54"/>
    <w:rPr>
      <w:sz w:val="18"/>
      <w:szCs w:val="18"/>
    </w:rPr>
  </w:style>
  <w:style w:type="paragraph" w:styleId="a4">
    <w:name w:val="footer"/>
    <w:basedOn w:val="a"/>
    <w:link w:val="Char0"/>
    <w:uiPriority w:val="99"/>
    <w:unhideWhenUsed/>
    <w:rsid w:val="00902E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2E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2015-03-09T06:36:00Z</dcterms:created>
  <dcterms:modified xsi:type="dcterms:W3CDTF">2015-03-09T06:37:00Z</dcterms:modified>
</cp:coreProperties>
</file>