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025DC7">
      <w:pPr>
        <w:spacing w:line="360" w:lineRule="auto"/>
        <w:jc w:val="center"/>
        <w:rPr>
          <w:rFonts w:asciiTheme="majorEastAsia" w:hAnsiTheme="majorEastAsia" w:eastAsiaTheme="majorEastAsia"/>
          <w:b/>
          <w:bCs w:val="0"/>
          <w:sz w:val="36"/>
          <w:szCs w:val="36"/>
        </w:rPr>
      </w:pPr>
      <w:bookmarkStart w:id="3" w:name="_GoBack"/>
      <w:bookmarkEnd w:id="3"/>
      <w:bookmarkStart w:id="0" w:name="_Hlk129547023"/>
      <w:bookmarkEnd w:id="0"/>
      <w:r>
        <w:rPr>
          <w:rFonts w:hint="eastAsia" w:asciiTheme="majorEastAsia" w:hAnsiTheme="majorEastAsia" w:eastAsiaTheme="majorEastAsia"/>
          <w:b/>
          <w:bCs w:val="0"/>
          <w:sz w:val="36"/>
          <w:szCs w:val="36"/>
        </w:rPr>
        <w:t>维普论文检测个人服务使用手册</w:t>
      </w:r>
    </w:p>
    <w:p w14:paraId="7DAECD8B">
      <w:pPr>
        <w:spacing w:line="360" w:lineRule="auto"/>
        <w:ind w:firstLine="840" w:firstLineChars="300"/>
        <w:jc w:val="right"/>
        <w:rPr>
          <w:rFonts w:asciiTheme="majorEastAsia" w:hAnsiTheme="majorEastAsia" w:eastAsiaTheme="majorEastAsia"/>
          <w:bCs/>
          <w:sz w:val="28"/>
          <w:szCs w:val="28"/>
        </w:rPr>
      </w:pPr>
      <w:r>
        <w:rPr>
          <w:rFonts w:hint="eastAsia" w:asciiTheme="majorEastAsia" w:hAnsiTheme="majorEastAsia" w:eastAsiaTheme="majorEastAsia"/>
          <w:bCs/>
          <w:sz w:val="28"/>
          <w:szCs w:val="28"/>
        </w:rPr>
        <w:t>--天津商业大学宝德学院</w:t>
      </w:r>
    </w:p>
    <w:p w14:paraId="2A95BC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" w:lineRule="atLeas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Cs/>
          <w:color w:val="FF000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Cs/>
          <w:color w:val="FF0000"/>
          <w:sz w:val="28"/>
          <w:szCs w:val="28"/>
        </w:rPr>
        <w:t>为避免学生在非正规网站自检，造成论文泄露或被盗卖，我们开通了一条安全的论文自检通道供本校学生选用，自愿付费使用。同比维普官网，本通道包含往届论文比对库，对比更全面。</w:t>
      </w:r>
    </w:p>
    <w:p w14:paraId="736429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Theme="minorEastAsia" w:hAnsiTheme="minorEastAsia"/>
          <w:b/>
          <w:sz w:val="30"/>
          <w:szCs w:val="30"/>
        </w:rPr>
      </w:pPr>
    </w:p>
    <w:p w14:paraId="56C2BA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Theme="minorEastAsia" w:hAnsiTheme="minorEastAsia"/>
          <w:b/>
          <w:sz w:val="30"/>
          <w:szCs w:val="30"/>
        </w:rPr>
      </w:pPr>
      <w:r>
        <w:rPr>
          <w:rFonts w:hint="eastAsia" w:asciiTheme="minorEastAsia" w:hAnsiTheme="minorEastAsia"/>
          <w:b/>
          <w:sz w:val="30"/>
          <w:szCs w:val="30"/>
        </w:rPr>
        <w:t>一、学生自检操作流程</w:t>
      </w:r>
    </w:p>
    <w:p w14:paraId="66F9D4A5">
      <w:pPr>
        <w:spacing w:line="560" w:lineRule="exact"/>
        <w:ind w:firstLine="320" w:firstLineChars="100"/>
        <w:jc w:val="left"/>
        <w:rPr>
          <w:rFonts w:ascii="仿宋_GB2312" w:hAnsi="仿宋" w:eastAsia="仿宋_GB2312"/>
          <w:snapToGrid w:val="0"/>
          <w:kern w:val="56"/>
          <w:sz w:val="32"/>
          <w:szCs w:val="32"/>
        </w:rPr>
      </w:pPr>
      <w:r>
        <w:rPr>
          <w:rFonts w:hint="eastAsia" w:ascii="仿宋_GB2312" w:hAnsi="仿宋" w:eastAsia="仿宋_GB2312"/>
          <w:snapToGrid w:val="0"/>
          <w:kern w:val="56"/>
          <w:sz w:val="32"/>
          <w:szCs w:val="32"/>
        </w:rPr>
        <w:t>登录网址</w:t>
      </w:r>
      <w:r>
        <w:rPr>
          <w:rFonts w:hint="eastAsia" w:ascii="仿宋_GB2312" w:hAnsi="仿宋" w:eastAsia="仿宋_GB2312"/>
          <w:snapToGrid w:val="0"/>
          <w:kern w:val="56"/>
          <w:sz w:val="32"/>
          <w:szCs w:val="32"/>
          <w:lang w:eastAsia="zh-CN"/>
        </w:rPr>
        <w:t>：</w:t>
      </w:r>
      <w:r>
        <w:rPr>
          <w:rFonts w:hint="eastAsia" w:ascii="仿宋_GB2312" w:hAnsi="仿宋" w:eastAsia="仿宋_GB2312"/>
          <w:snapToGrid w:val="0"/>
          <w:kern w:val="56"/>
          <w:sz w:val="32"/>
          <w:szCs w:val="32"/>
        </w:rPr>
        <w:t>https://vpcs.fanyu.com/personal/boustead</w:t>
      </w:r>
    </w:p>
    <w:p w14:paraId="1976AF88">
      <w:pPr>
        <w:spacing w:line="560" w:lineRule="exact"/>
        <w:rPr>
          <w:rFonts w:hint="eastAsia" w:ascii="仿宋_GB2312" w:hAnsi="仿宋" w:eastAsia="仿宋_GB2312"/>
          <w:snapToGrid w:val="0"/>
          <w:kern w:val="56"/>
          <w:sz w:val="32"/>
          <w:szCs w:val="32"/>
        </w:rPr>
      </w:pPr>
    </w:p>
    <w:p w14:paraId="4404329F">
      <w:pPr>
        <w:spacing w:line="560" w:lineRule="exact"/>
        <w:rPr>
          <w:rFonts w:hint="eastAsia" w:ascii="仿宋_GB2312" w:hAnsi="仿宋" w:eastAsia="仿宋_GB2312"/>
          <w:snapToGrid w:val="0"/>
          <w:kern w:val="56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napToGrid w:val="0"/>
          <w:kern w:val="56"/>
          <w:sz w:val="32"/>
          <w:szCs w:val="32"/>
        </w:rPr>
        <w:t>1.进入维普论文检测系统-天津</w:t>
      </w:r>
      <w:r>
        <w:rPr>
          <w:rFonts w:hint="eastAsia" w:ascii="仿宋_GB2312" w:hAnsi="仿宋" w:eastAsia="仿宋_GB2312"/>
          <w:snapToGrid w:val="0"/>
          <w:kern w:val="56"/>
          <w:sz w:val="32"/>
          <w:szCs w:val="32"/>
          <w:lang w:val="en-US" w:eastAsia="zh-CN"/>
        </w:rPr>
        <w:t>商业大学宝德学院</w:t>
      </w:r>
      <w:r>
        <w:rPr>
          <w:rFonts w:hint="eastAsia" w:ascii="仿宋_GB2312" w:hAnsi="仿宋" w:eastAsia="仿宋_GB2312"/>
          <w:snapToGrid w:val="0"/>
          <w:kern w:val="56"/>
          <w:sz w:val="32"/>
          <w:szCs w:val="32"/>
        </w:rPr>
        <w:t>专用版</w:t>
      </w:r>
      <w:r>
        <w:rPr>
          <w:rFonts w:hint="eastAsia" w:ascii="仿宋_GB2312" w:hAnsi="仿宋" w:eastAsia="仿宋_GB2312"/>
          <w:snapToGrid w:val="0"/>
          <w:kern w:val="56"/>
          <w:sz w:val="32"/>
          <w:szCs w:val="32"/>
          <w:lang w:eastAsia="zh-CN"/>
        </w:rPr>
        <w:t>。</w:t>
      </w:r>
    </w:p>
    <w:p w14:paraId="38B84B16">
      <w:pPr>
        <w:spacing w:line="276" w:lineRule="auto"/>
        <w:jc w:val="left"/>
      </w:pPr>
      <w:r>
        <w:drawing>
          <wp:inline distT="0" distB="0" distL="114300" distR="114300">
            <wp:extent cx="5298440" cy="2645410"/>
            <wp:effectExtent l="0" t="0" r="6985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45F3C">
      <w:pPr>
        <w:spacing w:line="276" w:lineRule="auto"/>
        <w:jc w:val="left"/>
        <w:rPr>
          <w:rFonts w:hint="eastAsia" w:ascii="仿宋_GB2312" w:hAnsi="仿宋" w:eastAsia="仿宋_GB2312"/>
          <w:snapToGrid w:val="0"/>
          <w:kern w:val="56"/>
          <w:sz w:val="32"/>
          <w:szCs w:val="32"/>
          <w:lang w:val="en-US" w:eastAsia="zh-CN"/>
        </w:rPr>
      </w:pPr>
    </w:p>
    <w:p w14:paraId="4C8A4E96">
      <w:pPr>
        <w:spacing w:line="276" w:lineRule="auto"/>
        <w:jc w:val="left"/>
        <w:rPr>
          <w:rFonts w:hint="eastAsia" w:ascii="仿宋_GB2312" w:hAnsi="仿宋" w:eastAsia="仿宋_GB2312"/>
          <w:snapToGrid w:val="0"/>
          <w:kern w:val="56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napToGrid w:val="0"/>
          <w:kern w:val="56"/>
          <w:sz w:val="32"/>
          <w:szCs w:val="32"/>
          <w:lang w:val="en-US" w:eastAsia="zh-CN"/>
        </w:rPr>
        <w:t xml:space="preserve">2、在登录页面中，点击“免费注册”，进入“账号注册”页面。通过手机号码进行验证注册。注册完毕之后，进行用户登录。（忘记密码可通过手机号码找回密码）   </w:t>
      </w:r>
    </w:p>
    <w:p w14:paraId="0F9896E3">
      <w:pPr>
        <w:jc w:val="center"/>
      </w:pPr>
      <w:r>
        <w:drawing>
          <wp:inline distT="0" distB="0" distL="114300" distR="114300">
            <wp:extent cx="2662555" cy="2882265"/>
            <wp:effectExtent l="0" t="0" r="4445" b="381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99A05">
      <w:pPr>
        <w:jc w:val="center"/>
      </w:pPr>
    </w:p>
    <w:p w14:paraId="64825A26">
      <w:pPr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2576830" cy="3077845"/>
            <wp:effectExtent l="0" t="0" r="4445" b="825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E02F8">
      <w:pPr>
        <w:rPr>
          <w:rFonts w:hint="eastAsia" w:asciiTheme="minorEastAsia" w:hAnsiTheme="minorEastAsia"/>
          <w:b/>
          <w:sz w:val="30"/>
          <w:szCs w:val="30"/>
        </w:rPr>
      </w:pPr>
      <w:r>
        <w:rPr>
          <w:rFonts w:hint="eastAsia" w:asciiTheme="minorEastAsia" w:hAnsiTheme="minorEastAsia"/>
          <w:b/>
          <w:sz w:val="30"/>
          <w:szCs w:val="30"/>
        </w:rPr>
        <w:br w:type="page"/>
      </w:r>
    </w:p>
    <w:p w14:paraId="337A8F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asciiTheme="minorEastAsia" w:hAnsiTheme="minorEastAsia"/>
          <w:b/>
          <w:sz w:val="30"/>
          <w:szCs w:val="30"/>
        </w:rPr>
      </w:pPr>
      <w:r>
        <w:rPr>
          <w:rFonts w:hint="eastAsia" w:asciiTheme="minorEastAsia" w:hAnsiTheme="minorEastAsia"/>
          <w:b/>
          <w:sz w:val="30"/>
          <w:szCs w:val="30"/>
        </w:rPr>
        <w:t>二、</w:t>
      </w:r>
      <w:r>
        <w:rPr>
          <w:rFonts w:hint="eastAsia" w:asciiTheme="minorEastAsia" w:hAnsiTheme="minorEastAsia"/>
          <w:b/>
          <w:sz w:val="30"/>
          <w:szCs w:val="30"/>
          <w:lang w:val="en-US" w:eastAsia="zh-CN"/>
        </w:rPr>
        <w:t>查重</w:t>
      </w:r>
      <w:r>
        <w:rPr>
          <w:rFonts w:hint="eastAsia" w:asciiTheme="minorEastAsia" w:hAnsiTheme="minorEastAsia"/>
          <w:b/>
          <w:sz w:val="30"/>
          <w:szCs w:val="30"/>
        </w:rPr>
        <w:t>检测：</w:t>
      </w:r>
      <w:r>
        <w:rPr>
          <w:rFonts w:asciiTheme="minorEastAsia" w:hAnsiTheme="minorEastAsia"/>
          <w:b/>
          <w:sz w:val="30"/>
          <w:szCs w:val="30"/>
        </w:rPr>
        <w:t xml:space="preserve"> </w:t>
      </w:r>
    </w:p>
    <w:p w14:paraId="2440F729">
      <w:pPr>
        <w:spacing w:line="560" w:lineRule="exact"/>
        <w:ind w:firstLine="641"/>
        <w:rPr>
          <w:rFonts w:ascii="仿宋_GB2312" w:hAnsi="仿宋" w:eastAsia="仿宋_GB2312"/>
          <w:snapToGrid w:val="0"/>
          <w:kern w:val="56"/>
          <w:sz w:val="32"/>
          <w:szCs w:val="32"/>
        </w:rPr>
      </w:pPr>
      <w:r>
        <w:rPr>
          <w:rFonts w:hint="eastAsia" w:ascii="仿宋_GB2312" w:hAnsi="仿宋" w:eastAsia="仿宋_GB2312"/>
          <w:snapToGrid w:val="0"/>
          <w:kern w:val="56"/>
          <w:sz w:val="32"/>
          <w:szCs w:val="32"/>
          <w:lang w:val="en-US" w:eastAsia="zh-CN"/>
        </w:rPr>
        <w:t>3.</w:t>
      </w:r>
      <w:r>
        <w:rPr>
          <w:rFonts w:ascii="仿宋_GB2312" w:hAnsi="仿宋" w:eastAsia="仿宋_GB2312"/>
          <w:snapToGrid w:val="0"/>
          <w:kern w:val="56"/>
          <w:sz w:val="32"/>
          <w:szCs w:val="32"/>
        </w:rPr>
        <w:t>登录后，选择</w:t>
      </w:r>
      <w:r>
        <w:rPr>
          <w:rFonts w:hint="eastAsia" w:ascii="仿宋_GB2312" w:hAnsi="仿宋" w:eastAsia="仿宋_GB2312"/>
          <w:snapToGrid w:val="0"/>
          <w:kern w:val="56"/>
          <w:sz w:val="32"/>
          <w:szCs w:val="32"/>
        </w:rPr>
        <w:t>“大学生版”版本</w:t>
      </w:r>
      <w:r>
        <w:rPr>
          <w:rFonts w:ascii="仿宋_GB2312" w:hAnsi="仿宋" w:eastAsia="仿宋_GB2312"/>
          <w:snapToGrid w:val="0"/>
          <w:kern w:val="56"/>
          <w:sz w:val="32"/>
          <w:szCs w:val="32"/>
        </w:rPr>
        <w:t>。如图：</w:t>
      </w:r>
    </w:p>
    <w:p w14:paraId="53477706">
      <w:r>
        <w:drawing>
          <wp:inline distT="0" distB="0" distL="114300" distR="114300">
            <wp:extent cx="5266690" cy="2444115"/>
            <wp:effectExtent l="0" t="0" r="635" b="381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91AC4"/>
    <w:p w14:paraId="018B3FBB">
      <w:pPr>
        <w:spacing w:line="560" w:lineRule="exact"/>
        <w:ind w:firstLine="641"/>
        <w:rPr>
          <w:rFonts w:ascii="仿宋_GB2312" w:hAnsi="仿宋" w:eastAsia="仿宋_GB2312"/>
          <w:snapToGrid w:val="0"/>
          <w:kern w:val="56"/>
          <w:sz w:val="32"/>
          <w:szCs w:val="32"/>
        </w:rPr>
      </w:pPr>
      <w:r>
        <w:rPr>
          <w:rFonts w:hint="eastAsia" w:ascii="仿宋_GB2312" w:hAnsi="仿宋" w:eastAsia="仿宋_GB2312"/>
          <w:snapToGrid w:val="0"/>
          <w:kern w:val="56"/>
          <w:sz w:val="32"/>
          <w:szCs w:val="32"/>
        </w:rPr>
        <w:t>4.填写题目、作者，点击“选择文件”按钮，在电脑上找到送检论文。点击“下一步”。如图：</w:t>
      </w:r>
    </w:p>
    <w:p w14:paraId="0EE8B1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tLeast"/>
        <w:textAlignment w:val="auto"/>
        <w:rPr>
          <w:rFonts w:ascii="等线" w:hAnsi="等线" w:cs="等线"/>
          <w:color w:val="FF0000"/>
          <w:sz w:val="24"/>
        </w:rPr>
      </w:pPr>
      <w:r>
        <w:rPr>
          <w:rFonts w:hint="eastAsia" w:ascii="等线" w:hAnsi="等线" w:cs="等线"/>
          <w:color w:val="FF0000"/>
          <w:sz w:val="24"/>
        </w:rPr>
        <w:t>*送检文档格式为.doc/.docx格式；</w:t>
      </w:r>
    </w:p>
    <w:p w14:paraId="1AD0C7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tLeast"/>
        <w:textAlignment w:val="auto"/>
        <w:rPr>
          <w:rFonts w:ascii="等线" w:hAnsi="等线" w:cs="等线"/>
          <w:color w:val="FF0000"/>
          <w:sz w:val="24"/>
        </w:rPr>
      </w:pPr>
      <w:r>
        <w:rPr>
          <w:rFonts w:hint="eastAsia" w:ascii="等线" w:hAnsi="等线" w:cs="等线"/>
          <w:color w:val="FF0000"/>
          <w:sz w:val="24"/>
        </w:rPr>
        <w:t>*论文题目和作者姓名选填，但建议填写完整，这两部分内容将在报告中呈现；</w:t>
      </w:r>
    </w:p>
    <w:p w14:paraId="418A5A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tLeast"/>
        <w:textAlignment w:val="auto"/>
        <w:rPr>
          <w:rFonts w:ascii="等线" w:hAnsi="等线" w:cs="等线"/>
          <w:color w:val="FF0000"/>
          <w:sz w:val="24"/>
        </w:rPr>
      </w:pPr>
      <w:r>
        <w:rPr>
          <w:rFonts w:hint="eastAsia" w:ascii="等线" w:hAnsi="等线" w:cs="等线"/>
          <w:color w:val="FF0000"/>
          <w:sz w:val="24"/>
        </w:rPr>
        <w:t>*</w:t>
      </w:r>
      <w:r>
        <w:rPr>
          <w:rFonts w:hint="eastAsia" w:ascii="宋体" w:hAnsi="宋体"/>
          <w:color w:val="FF0000"/>
          <w:sz w:val="24"/>
        </w:rPr>
        <w:t>个人自建库是对于检测对比资源的补充，请勿将待检测论文上传到个人自建库。</w:t>
      </w:r>
    </w:p>
    <w:p w14:paraId="54FA042E">
      <w:r>
        <w:drawing>
          <wp:inline distT="0" distB="0" distL="114300" distR="114300">
            <wp:extent cx="5272405" cy="3125470"/>
            <wp:effectExtent l="0" t="0" r="4445" b="825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D9C18">
      <w:pPr>
        <w:rPr>
          <w:rFonts w:hint="eastAsia" w:ascii="仿宋_GB2312" w:hAnsi="仿宋" w:eastAsia="仿宋_GB2312"/>
          <w:snapToGrid w:val="0"/>
          <w:kern w:val="56"/>
          <w:sz w:val="32"/>
          <w:szCs w:val="32"/>
        </w:rPr>
      </w:pPr>
      <w:r>
        <w:rPr>
          <w:rFonts w:hint="eastAsia" w:ascii="仿宋_GB2312" w:hAnsi="仿宋" w:eastAsia="仿宋_GB2312"/>
          <w:snapToGrid w:val="0"/>
          <w:kern w:val="56"/>
          <w:sz w:val="32"/>
          <w:szCs w:val="32"/>
        </w:rPr>
        <w:t xml:space="preserve">  </w:t>
      </w:r>
      <w:r>
        <w:rPr>
          <w:rFonts w:hint="eastAsia" w:ascii="仿宋_GB2312" w:hAnsi="仿宋" w:eastAsia="仿宋_GB2312"/>
          <w:snapToGrid w:val="0"/>
          <w:kern w:val="56"/>
          <w:sz w:val="32"/>
          <w:szCs w:val="32"/>
          <w:lang w:val="en-US" w:eastAsia="zh-CN"/>
        </w:rPr>
        <w:t xml:space="preserve">  5.</w:t>
      </w:r>
      <w:r>
        <w:rPr>
          <w:rFonts w:hint="eastAsia" w:ascii="仿宋_GB2312" w:hAnsi="仿宋" w:eastAsia="仿宋_GB2312"/>
          <w:snapToGrid w:val="0"/>
          <w:kern w:val="56"/>
          <w:sz w:val="32"/>
          <w:szCs w:val="32"/>
        </w:rPr>
        <w:t>上传论文解析完成，确认文档信息无误后，勾选</w:t>
      </w:r>
      <w:r>
        <w:rPr>
          <w:rFonts w:hint="eastAsia" w:ascii="仿宋_GB2312" w:hAnsi="仿宋" w:eastAsia="仿宋_GB2312"/>
          <w:snapToGrid w:val="0"/>
          <w:kern w:val="56"/>
          <w:sz w:val="32"/>
          <w:szCs w:val="32"/>
          <w:lang w:val="en-US" w:eastAsia="zh-CN"/>
        </w:rPr>
        <w:t>需要检测的报告类型后</w:t>
      </w:r>
      <w:r>
        <w:rPr>
          <w:rFonts w:hint="eastAsia" w:ascii="仿宋_GB2312" w:hAnsi="仿宋" w:eastAsia="仿宋_GB2312"/>
          <w:snapToGrid w:val="0"/>
          <w:kern w:val="56"/>
          <w:sz w:val="32"/>
          <w:szCs w:val="32"/>
          <w:lang w:eastAsia="zh-CN"/>
        </w:rPr>
        <w:t>，</w:t>
      </w:r>
      <w:r>
        <w:rPr>
          <w:rFonts w:hint="eastAsia" w:ascii="仿宋_GB2312" w:hAnsi="仿宋" w:eastAsia="仿宋_GB2312"/>
          <w:snapToGrid w:val="0"/>
          <w:kern w:val="56"/>
          <w:sz w:val="32"/>
          <w:szCs w:val="32"/>
        </w:rPr>
        <w:t>点击提交订单。如图：</w:t>
      </w:r>
    </w:p>
    <w:p w14:paraId="3C2FCE31">
      <w:pPr>
        <w:pStyle w:val="2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 w:ascii="仿宋_GB2312" w:hAnsi="仿宋" w:eastAsia="仿宋_GB2312"/>
          <w:snapToGrid w:val="0"/>
          <w:kern w:val="56"/>
          <w:sz w:val="32"/>
          <w:szCs w:val="32"/>
          <w:lang w:val="en-US"/>
        </w:rPr>
      </w:pPr>
      <w:r>
        <w:rPr>
          <w:rFonts w:hint="eastAsia" w:ascii="等线" w:hAnsi="等线" w:cs="等线"/>
          <w:color w:val="FF0000"/>
          <w:sz w:val="24"/>
        </w:rPr>
        <w:t>*</w:t>
      </w:r>
      <w:r>
        <w:rPr>
          <w:rFonts w:hint="eastAsia" w:ascii="宋体" w:hAnsi="宋体" w:eastAsia="宋体"/>
          <w:color w:val="FF0000"/>
          <w:sz w:val="24"/>
          <w:szCs w:val="24"/>
        </w:rPr>
        <w:t>“格式检测”是增值服务项，学生</w:t>
      </w:r>
      <w:r>
        <w:rPr>
          <w:rFonts w:hint="eastAsia" w:ascii="宋体" w:hAnsi="宋体" w:eastAsia="宋体"/>
          <w:b w:val="0"/>
          <w:bCs w:val="0"/>
          <w:color w:val="FF0000"/>
          <w:sz w:val="24"/>
          <w:szCs w:val="24"/>
        </w:rPr>
        <w:t>可自行选择</w:t>
      </w:r>
      <w:r>
        <w:rPr>
          <w:rFonts w:hint="eastAsia" w:ascii="宋体" w:hAnsi="宋体" w:eastAsia="宋体"/>
          <w:color w:val="FF0000"/>
          <w:sz w:val="24"/>
          <w:szCs w:val="24"/>
        </w:rPr>
        <w:t>是否进行。</w:t>
      </w:r>
      <w:r>
        <w:rPr>
          <w:rFonts w:hint="eastAsia" w:ascii="宋体" w:hAnsi="宋体" w:eastAsia="宋体"/>
          <w:color w:val="FF0000"/>
          <w:sz w:val="24"/>
          <w:szCs w:val="24"/>
        </w:rPr>
        <w:br w:type="textWrapping"/>
      </w:r>
      <w:r>
        <w:rPr>
          <w:rFonts w:hint="eastAsia" w:ascii="等线" w:hAnsi="等线" w:cs="等线"/>
          <w:color w:val="FF0000"/>
          <w:sz w:val="24"/>
        </w:rPr>
        <w:t>*</w:t>
      </w:r>
      <w:r>
        <w:rPr>
          <w:rFonts w:hint="eastAsia" w:ascii="宋体" w:hAnsi="宋体" w:eastAsia="宋体"/>
          <w:color w:val="FF0000"/>
          <w:sz w:val="24"/>
          <w:szCs w:val="24"/>
          <w:lang w:eastAsia="zh-CN"/>
        </w:rPr>
        <w:t>“</w:t>
      </w:r>
      <w:r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  <w:t>AIGC检测</w:t>
      </w:r>
      <w:r>
        <w:rPr>
          <w:rFonts w:hint="eastAsia" w:ascii="宋体" w:hAnsi="宋体" w:eastAsia="宋体"/>
          <w:color w:val="FF0000"/>
          <w:sz w:val="24"/>
          <w:szCs w:val="24"/>
          <w:lang w:eastAsia="zh-CN"/>
        </w:rPr>
        <w:t>”</w:t>
      </w:r>
      <w:r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  <w:t>已纳入学校毕业论文（设计）管理办法，检测结果较高时请参照学校通知说明。</w:t>
      </w:r>
    </w:p>
    <w:p w14:paraId="2FCA6765">
      <w:pPr>
        <w:rPr>
          <w:rFonts w:hint="eastAsia"/>
        </w:rPr>
      </w:pPr>
      <w:r>
        <w:drawing>
          <wp:inline distT="0" distB="0" distL="114300" distR="114300">
            <wp:extent cx="5254625" cy="2399030"/>
            <wp:effectExtent l="0" t="0" r="317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7B16D">
      <w:pPr>
        <w:ind w:firstLine="640" w:firstLineChars="200"/>
        <w:rPr>
          <w:rFonts w:ascii="仿宋_GB2312" w:hAnsi="仿宋" w:eastAsia="仿宋_GB2312"/>
          <w:snapToGrid w:val="0"/>
          <w:kern w:val="56"/>
          <w:sz w:val="32"/>
          <w:szCs w:val="32"/>
        </w:rPr>
      </w:pPr>
      <w:r>
        <w:rPr>
          <w:rFonts w:hint="eastAsia" w:ascii="仿宋_GB2312" w:hAnsi="仿宋" w:eastAsia="仿宋_GB2312"/>
          <w:snapToGrid w:val="0"/>
          <w:kern w:val="56"/>
          <w:sz w:val="32"/>
          <w:szCs w:val="32"/>
        </w:rPr>
        <w:t>6.检测过程中，可以关闭页面，检测完毕后，在“个人中心”查看、下载检测报告。如图：</w:t>
      </w:r>
    </w:p>
    <w:p w14:paraId="3D51EAAE">
      <w:pPr>
        <w:rPr>
          <w:rFonts w:hint="eastAsia" w:asciiTheme="minorEastAsia" w:hAnsiTheme="minorEastAsia"/>
          <w:b/>
          <w:sz w:val="24"/>
        </w:rPr>
      </w:pPr>
      <w:r>
        <w:drawing>
          <wp:inline distT="0" distB="0" distL="114300" distR="114300">
            <wp:extent cx="5269865" cy="2392045"/>
            <wp:effectExtent l="0" t="0" r="6985" b="825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9673A">
      <w:pPr>
        <w:rPr>
          <w:rFonts w:hint="eastAsia" w:asciiTheme="minorEastAsia" w:hAnsiTheme="minorEastAsia"/>
          <w:b/>
          <w:sz w:val="30"/>
          <w:szCs w:val="30"/>
        </w:rPr>
      </w:pPr>
      <w:bookmarkStart w:id="1" w:name="_Hlk129597770"/>
      <w:bookmarkStart w:id="2" w:name="_Hlk129596531"/>
      <w:r>
        <w:rPr>
          <w:rFonts w:hint="eastAsia" w:ascii="等线" w:hAnsi="等线" w:cs="等线"/>
          <w:color w:val="FF0000"/>
          <w:sz w:val="24"/>
          <w:lang w:val="en-US" w:eastAsia="zh-CN"/>
        </w:rPr>
        <w:t>*学校查重结果通过标准：不得超过30%</w:t>
      </w:r>
    </w:p>
    <w:p w14:paraId="117E3B20">
      <w:pPr>
        <w:rPr>
          <w:rFonts w:hint="eastAsia" w:asciiTheme="minorEastAsia" w:hAnsiTheme="minorEastAsia"/>
          <w:b/>
          <w:sz w:val="30"/>
          <w:szCs w:val="30"/>
        </w:rPr>
      </w:pPr>
      <w:r>
        <w:rPr>
          <w:rFonts w:hint="eastAsia" w:asciiTheme="minorEastAsia" w:hAnsiTheme="minorEastAsia"/>
          <w:b/>
          <w:sz w:val="30"/>
          <w:szCs w:val="30"/>
        </w:rPr>
        <w:br w:type="page"/>
      </w:r>
    </w:p>
    <w:p w14:paraId="60AF45D5">
      <w:pPr>
        <w:rPr>
          <w:rFonts w:hint="eastAsia" w:ascii="宋体" w:hAnsi="宋体" w:eastAsia="宋体"/>
          <w:sz w:val="30"/>
          <w:szCs w:val="30"/>
        </w:rPr>
      </w:pPr>
      <w:r>
        <w:rPr>
          <w:rFonts w:hint="eastAsia" w:asciiTheme="minorEastAsia" w:hAnsiTheme="minorEastAsia"/>
          <w:b/>
          <w:sz w:val="30"/>
          <w:szCs w:val="30"/>
        </w:rPr>
        <w:t>三、</w:t>
      </w:r>
      <w:r>
        <w:rPr>
          <w:rFonts w:hint="eastAsia" w:asciiTheme="minorEastAsia" w:hAnsiTheme="minorEastAsia"/>
          <w:b/>
          <w:sz w:val="30"/>
          <w:szCs w:val="30"/>
          <w:lang w:val="en-US" w:eastAsia="zh-CN"/>
        </w:rPr>
        <w:t>格式检测</w:t>
      </w:r>
      <w:r>
        <w:rPr>
          <w:rFonts w:hint="eastAsia" w:asciiTheme="minorEastAsia" w:hAnsiTheme="minorEastAsia"/>
          <w:b/>
          <w:sz w:val="30"/>
          <w:szCs w:val="30"/>
        </w:rPr>
        <w:t>：</w:t>
      </w:r>
    </w:p>
    <w:p w14:paraId="77149261">
      <w:pPr>
        <w:numPr>
          <w:ilvl w:val="0"/>
          <w:numId w:val="0"/>
        </w:numPr>
        <w:ind w:firstLine="640" w:firstLineChars="200"/>
        <w:rPr>
          <w:rFonts w:hint="eastAsia" w:ascii="仿宋_GB2312" w:hAnsi="仿宋" w:eastAsia="仿宋_GB2312"/>
          <w:snapToGrid w:val="0"/>
          <w:kern w:val="56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napToGrid w:val="0"/>
          <w:kern w:val="56"/>
          <w:sz w:val="32"/>
          <w:szCs w:val="32"/>
        </w:rPr>
        <w:t>格式检测可</w:t>
      </w:r>
      <w:r>
        <w:rPr>
          <w:rFonts w:hint="eastAsia" w:ascii="仿宋_GB2312" w:hAnsi="仿宋" w:eastAsia="仿宋_GB2312"/>
          <w:snapToGrid w:val="0"/>
          <w:kern w:val="56"/>
          <w:sz w:val="32"/>
          <w:szCs w:val="32"/>
          <w:lang w:val="en-US" w:eastAsia="zh-CN"/>
        </w:rPr>
        <w:t>帮助学生进行论文格式的修改和规范，检测结果仅供参考。格式检测依据为学校论文撰写规范，通过系统对比，可检测论文</w:t>
      </w:r>
      <w:r>
        <w:rPr>
          <w:rFonts w:hint="eastAsia" w:ascii="仿宋_GB2312" w:hAnsi="仿宋" w:eastAsia="仿宋_GB2312"/>
          <w:snapToGrid w:val="0"/>
          <w:kern w:val="56"/>
          <w:sz w:val="32"/>
          <w:szCs w:val="32"/>
        </w:rPr>
        <w:t>格式字体字号、页面布局、参考文献等是否符合</w:t>
      </w:r>
      <w:r>
        <w:rPr>
          <w:rFonts w:hint="eastAsia" w:ascii="仿宋_GB2312" w:hAnsi="仿宋" w:eastAsia="仿宋_GB2312"/>
          <w:snapToGrid w:val="0"/>
          <w:kern w:val="56"/>
          <w:sz w:val="32"/>
          <w:szCs w:val="32"/>
          <w:lang w:val="en-US" w:eastAsia="zh-CN"/>
        </w:rPr>
        <w:t>规范要求。</w:t>
      </w:r>
    </w:p>
    <w:p w14:paraId="53B48878">
      <w:pPr>
        <w:numPr>
          <w:ilvl w:val="0"/>
          <w:numId w:val="0"/>
        </w:numPr>
        <w:ind w:firstLine="640" w:firstLineChars="200"/>
        <w:rPr>
          <w:rFonts w:hint="default" w:ascii="仿宋_GB2312" w:hAnsi="仿宋" w:eastAsia="仿宋_GB2312"/>
          <w:snapToGrid w:val="0"/>
          <w:kern w:val="56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napToGrid w:val="0"/>
          <w:kern w:val="56"/>
          <w:sz w:val="32"/>
          <w:szCs w:val="32"/>
          <w:lang w:val="en-US" w:eastAsia="zh-CN"/>
        </w:rPr>
        <w:t>格式检测需上传word版本论文，建议使用中文撰写的文章使用，其他语种撰写文章暂不建议使用。</w:t>
      </w:r>
    </w:p>
    <w:p w14:paraId="210D948D">
      <w:pPr>
        <w:numPr>
          <w:ilvl w:val="0"/>
          <w:numId w:val="0"/>
        </w:numPr>
        <w:ind w:firstLine="640" w:firstLineChars="200"/>
        <w:rPr>
          <w:rFonts w:hint="eastAsia" w:ascii="仿宋_GB2312" w:hAnsi="仿宋" w:eastAsia="仿宋_GB2312"/>
          <w:snapToGrid w:val="0"/>
          <w:kern w:val="56"/>
          <w:sz w:val="32"/>
          <w:szCs w:val="32"/>
        </w:rPr>
      </w:pPr>
      <w:r>
        <w:rPr>
          <w:rFonts w:hint="eastAsia" w:ascii="仿宋_GB2312" w:hAnsi="仿宋" w:eastAsia="仿宋_GB2312"/>
          <w:snapToGrid w:val="0"/>
          <w:kern w:val="56"/>
          <w:sz w:val="32"/>
          <w:szCs w:val="32"/>
          <w:lang w:val="en-US" w:eastAsia="zh-CN"/>
        </w:rPr>
        <w:t>学生可在论文检测时勾选“</w:t>
      </w:r>
      <w:r>
        <w:rPr>
          <w:rFonts w:hint="eastAsia" w:ascii="仿宋_GB2312" w:hAnsi="仿宋" w:eastAsia="仿宋_GB2312"/>
          <w:snapToGrid w:val="0"/>
          <w:kern w:val="56"/>
          <w:sz w:val="32"/>
          <w:szCs w:val="32"/>
        </w:rPr>
        <w:t>格式检测</w:t>
      </w:r>
      <w:r>
        <w:rPr>
          <w:rFonts w:hint="eastAsia" w:ascii="仿宋_GB2312" w:hAnsi="仿宋" w:eastAsia="仿宋_GB2312"/>
          <w:snapToGrid w:val="0"/>
          <w:kern w:val="56"/>
          <w:sz w:val="32"/>
          <w:szCs w:val="32"/>
          <w:lang w:val="en-US" w:eastAsia="zh-CN"/>
        </w:rPr>
        <w:t>”进行格式检测。</w:t>
      </w:r>
    </w:p>
    <w:p w14:paraId="28E19CAE">
      <w:pPr>
        <w:numPr>
          <w:ilvl w:val="0"/>
          <w:numId w:val="0"/>
        </w:numPr>
        <w:ind w:firstLine="640" w:firstLineChars="200"/>
        <w:rPr>
          <w:rFonts w:hint="eastAsia" w:ascii="仿宋_GB2312" w:hAnsi="仿宋" w:eastAsia="仿宋_GB2312"/>
          <w:snapToGrid w:val="0"/>
          <w:kern w:val="56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napToGrid w:val="0"/>
          <w:kern w:val="56"/>
          <w:sz w:val="32"/>
          <w:szCs w:val="32"/>
          <w:lang w:val="en-US" w:eastAsia="zh-CN"/>
        </w:rPr>
        <w:t>格式报告分为“统计报告”、“比对报告”、“批注版”三种</w:t>
      </w:r>
    </w:p>
    <w:p w14:paraId="3E385A3B">
      <w:pPr>
        <w:numPr>
          <w:ilvl w:val="0"/>
          <w:numId w:val="0"/>
        </w:numPr>
        <w:jc w:val="center"/>
        <w:rPr>
          <w:rFonts w:ascii="宋体" w:hAnsi="宋体" w:eastAsia="宋体"/>
          <w:sz w:val="24"/>
        </w:rPr>
      </w:pPr>
      <w:r>
        <w:rPr>
          <w:rFonts w:hint="eastAsia" w:ascii="仿宋_GB2312" w:hAnsi="仿宋" w:eastAsia="仿宋_GB2312"/>
          <w:snapToGrid w:val="0"/>
          <w:kern w:val="56"/>
          <w:sz w:val="32"/>
          <w:szCs w:val="32"/>
          <w:lang w:val="en-US" w:eastAsia="zh-CN"/>
        </w:rPr>
        <w:t>“统计报告”可查看文章整体结构和各部分格式问题概况。</w:t>
      </w:r>
      <w:r>
        <w:rPr>
          <w:rFonts w:hint="eastAsia" w:ascii="宋体" w:hAnsi="宋体" w:eastAsia="宋体"/>
          <w:sz w:val="24"/>
          <w:lang w:eastAsia="zh-CN"/>
        </w:rPr>
        <w:drawing>
          <wp:inline distT="0" distB="0" distL="114300" distR="114300">
            <wp:extent cx="4581525" cy="4129405"/>
            <wp:effectExtent l="0" t="0" r="0" b="4445"/>
            <wp:docPr id="7" name="图片 7" descr="842ad242570fa03b34d51f41b06f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42ad242570fa03b34d51f41b06fc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8F3AB">
      <w:pPr>
        <w:numPr>
          <w:ilvl w:val="0"/>
          <w:numId w:val="0"/>
        </w:numPr>
        <w:ind w:leftChars="200"/>
        <w:jc w:val="left"/>
        <w:rPr>
          <w:rFonts w:ascii="宋体" w:hAnsi="宋体" w:eastAsia="宋体"/>
          <w:sz w:val="24"/>
        </w:rPr>
      </w:pPr>
    </w:p>
    <w:p w14:paraId="5C370CBC">
      <w:pPr>
        <w:numPr>
          <w:ilvl w:val="0"/>
          <w:numId w:val="0"/>
        </w:numPr>
        <w:ind w:leftChars="200"/>
        <w:jc w:val="lef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仿宋_GB2312" w:hAnsi="仿宋" w:eastAsia="仿宋_GB2312"/>
          <w:snapToGrid w:val="0"/>
          <w:kern w:val="56"/>
          <w:sz w:val="32"/>
          <w:szCs w:val="32"/>
          <w:lang w:val="en-US" w:eastAsia="zh-CN"/>
        </w:rPr>
        <w:t>“比对报告”可查看文章各部分具体问题</w:t>
      </w:r>
      <w:r>
        <w:rPr>
          <w:rFonts w:hint="eastAsia" w:ascii="宋体" w:hAnsi="宋体" w:eastAsia="宋体"/>
          <w:sz w:val="24"/>
          <w:lang w:eastAsia="zh-CN"/>
        </w:rPr>
        <w:drawing>
          <wp:inline distT="0" distB="0" distL="114300" distR="114300">
            <wp:extent cx="5260975" cy="1200785"/>
            <wp:effectExtent l="0" t="0" r="6350" b="8890"/>
            <wp:docPr id="4" name="图片 4" descr="微信图片_2024041815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4181504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EBBA4">
      <w:pPr>
        <w:numPr>
          <w:ilvl w:val="0"/>
          <w:numId w:val="0"/>
        </w:numPr>
        <w:ind w:leftChars="200"/>
        <w:jc w:val="left"/>
        <w:rPr>
          <w:rFonts w:ascii="宋体" w:hAnsi="宋体" w:eastAsia="宋体"/>
          <w:sz w:val="24"/>
        </w:rPr>
      </w:pPr>
    </w:p>
    <w:p w14:paraId="1ABBB98A">
      <w:pPr>
        <w:numPr>
          <w:ilvl w:val="0"/>
          <w:numId w:val="0"/>
        </w:numPr>
        <w:ind w:firstLine="640" w:firstLineChars="200"/>
        <w:rPr>
          <w:rFonts w:hint="eastAsia" w:ascii="仿宋_GB2312" w:hAnsi="仿宋" w:eastAsia="仿宋_GB2312"/>
          <w:snapToGrid w:val="0"/>
          <w:kern w:val="56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napToGrid w:val="0"/>
          <w:kern w:val="56"/>
          <w:sz w:val="32"/>
          <w:szCs w:val="32"/>
          <w:lang w:val="en-US" w:eastAsia="zh-CN"/>
        </w:rPr>
        <w:t>“批注版”为word版本格式问题批注，可在此基础上直接进行格式修改。</w:t>
      </w:r>
    </w:p>
    <w:p w14:paraId="73D15E92">
      <w:pPr>
        <w:numPr>
          <w:ilvl w:val="0"/>
          <w:numId w:val="0"/>
        </w:numPr>
        <w:ind w:leftChars="200"/>
        <w:jc w:val="left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114300" distR="114300">
            <wp:extent cx="5267325" cy="2367280"/>
            <wp:effectExtent l="0" t="0" r="0" b="4445"/>
            <wp:docPr id="8" name="图片 8" descr="微信图片_2024041815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4181508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51787">
      <w:pPr>
        <w:numPr>
          <w:ilvl w:val="0"/>
          <w:numId w:val="0"/>
        </w:numPr>
        <w:ind w:leftChars="200"/>
        <w:jc w:val="left"/>
        <w:rPr>
          <w:rFonts w:ascii="宋体" w:hAnsi="宋体" w:eastAsia="宋体"/>
          <w:sz w:val="24"/>
        </w:rPr>
      </w:pPr>
    </w:p>
    <w:p w14:paraId="409BD5FC">
      <w:pPr>
        <w:numPr>
          <w:ilvl w:val="0"/>
          <w:numId w:val="0"/>
        </w:numPr>
        <w:ind w:leftChars="200"/>
        <w:jc w:val="left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br w:type="page"/>
      </w:r>
    </w:p>
    <w:p w14:paraId="01B68217">
      <w:pPr>
        <w:numPr>
          <w:ilvl w:val="0"/>
          <w:numId w:val="1"/>
        </w:numPr>
        <w:rPr>
          <w:rFonts w:hint="eastAsia" w:asciiTheme="minorEastAsia" w:hAnsiTheme="minorEastAsia"/>
          <w:b/>
          <w:sz w:val="30"/>
          <w:szCs w:val="30"/>
          <w:lang w:val="en-US" w:eastAsia="zh-CN"/>
        </w:rPr>
      </w:pPr>
      <w:r>
        <w:rPr>
          <w:rFonts w:hint="eastAsia" w:asciiTheme="minorEastAsia" w:hAnsiTheme="minorEastAsia"/>
          <w:b/>
          <w:sz w:val="30"/>
          <w:szCs w:val="30"/>
          <w:lang w:val="en-US" w:eastAsia="zh-CN"/>
        </w:rPr>
        <w:t xml:space="preserve">AIGC检测 </w:t>
      </w:r>
    </w:p>
    <w:p w14:paraId="6215EEB6">
      <w:pPr>
        <w:numPr>
          <w:ilvl w:val="0"/>
          <w:numId w:val="0"/>
        </w:numPr>
        <w:ind w:firstLine="640" w:firstLineChars="200"/>
        <w:rPr>
          <w:rFonts w:hint="eastAsia" w:ascii="仿宋_GB2312" w:hAnsi="仿宋" w:eastAsia="仿宋_GB2312"/>
          <w:snapToGrid w:val="0"/>
          <w:kern w:val="56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napToGrid w:val="0"/>
          <w:kern w:val="56"/>
          <w:sz w:val="32"/>
          <w:szCs w:val="32"/>
          <w:lang w:val="en-US" w:eastAsia="zh-CN"/>
        </w:rPr>
        <w:t>AIGC检测能够自主学习并辨别文本中是否存在 AI 生成的痕迹，可检测出国内外各类主流AI 模型生成的文本内容，包括 DeepSeek、ChatGPT、文心一言、讯飞星火等。</w:t>
      </w:r>
      <w:r>
        <w:rPr>
          <w:rFonts w:hint="eastAsia" w:ascii="仿宋_GB2312" w:hAnsi="仿宋" w:eastAsia="仿宋_GB2312"/>
          <w:snapToGrid w:val="0"/>
          <w:kern w:val="56"/>
          <w:sz w:val="32"/>
          <w:szCs w:val="32"/>
          <w:lang w:val="en-US" w:eastAsia="zh-CN"/>
        </w:rPr>
        <w:br w:type="textWrapping"/>
      </w:r>
      <w:r>
        <w:rPr>
          <w:rFonts w:hint="eastAsia" w:ascii="仿宋_GB2312" w:hAnsi="仿宋" w:eastAsia="仿宋_GB2312"/>
          <w:snapToGrid w:val="0"/>
          <w:kern w:val="56"/>
          <w:sz w:val="32"/>
          <w:szCs w:val="32"/>
          <w:lang w:val="en-US" w:eastAsia="zh-CN"/>
        </w:rPr>
        <w:t xml:space="preserve">    AIGC检测已纳入学校毕业论文（设计）管理办法，检测结果较高时请参照学校通知说明。</w:t>
      </w:r>
    </w:p>
    <w:p w14:paraId="1185264B">
      <w:pPr>
        <w:numPr>
          <w:ilvl w:val="0"/>
          <w:numId w:val="0"/>
        </w:numPr>
        <w:ind w:firstLine="420" w:firstLineChars="200"/>
        <w:rPr>
          <w:rFonts w:hint="default" w:ascii="仿宋_GB2312" w:hAnsi="仿宋" w:eastAsia="仿宋_GB2312"/>
          <w:snapToGrid w:val="0"/>
          <w:kern w:val="56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4310" cy="3917315"/>
            <wp:effectExtent l="0" t="0" r="2540" b="698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DF5E7">
      <w:pPr>
        <w:rPr>
          <w:rFonts w:hint="eastAsia" w:asciiTheme="minorEastAsia" w:hAnsiTheme="minorEastAsia"/>
          <w:b/>
          <w:sz w:val="30"/>
          <w:szCs w:val="30"/>
          <w:lang w:val="en-US" w:eastAsia="zh-CN"/>
        </w:rPr>
      </w:pPr>
      <w:r>
        <w:rPr>
          <w:rFonts w:hint="eastAsia" w:asciiTheme="minorEastAsia" w:hAnsiTheme="minorEastAsia"/>
          <w:b/>
          <w:sz w:val="30"/>
          <w:szCs w:val="30"/>
          <w:lang w:val="en-US" w:eastAsia="zh-CN"/>
        </w:rPr>
        <w:br w:type="page"/>
      </w:r>
    </w:p>
    <w:p w14:paraId="5D1356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Theme="minorEastAsia" w:hAnsiTheme="minorEastAsia"/>
          <w:b/>
          <w:sz w:val="30"/>
          <w:szCs w:val="30"/>
        </w:rPr>
      </w:pPr>
      <w:r>
        <w:rPr>
          <w:rFonts w:hint="eastAsia" w:asciiTheme="minorEastAsia" w:hAnsiTheme="minorEastAsia"/>
          <w:b/>
          <w:sz w:val="30"/>
          <w:szCs w:val="30"/>
          <w:lang w:val="en-US" w:eastAsia="zh-CN"/>
        </w:rPr>
        <w:t>五</w:t>
      </w:r>
      <w:r>
        <w:rPr>
          <w:rFonts w:hint="eastAsia" w:asciiTheme="minorEastAsia" w:hAnsiTheme="minorEastAsia"/>
          <w:b/>
          <w:sz w:val="30"/>
          <w:szCs w:val="30"/>
        </w:rPr>
        <w:t>、个人中心：</w:t>
      </w:r>
    </w:p>
    <w:p w14:paraId="1FFC5E89">
      <w:pPr>
        <w:ind w:firstLine="640" w:firstLineChars="200"/>
        <w:rPr>
          <w:rFonts w:hint="eastAsia" w:ascii="仿宋_GB2312" w:hAnsi="仿宋" w:eastAsia="仿宋_GB2312"/>
          <w:snapToGrid w:val="0"/>
          <w:kern w:val="56"/>
          <w:sz w:val="32"/>
          <w:szCs w:val="32"/>
        </w:rPr>
      </w:pPr>
      <w:r>
        <w:rPr>
          <w:rFonts w:hint="eastAsia" w:ascii="仿宋_GB2312" w:hAnsi="仿宋" w:eastAsia="仿宋_GB2312"/>
          <w:snapToGrid w:val="0"/>
          <w:kern w:val="56"/>
          <w:sz w:val="32"/>
          <w:szCs w:val="32"/>
        </w:rPr>
        <w:t>检测完毕后，在“个人中心”查看、下载检测报告。如图：</w:t>
      </w:r>
    </w:p>
    <w:p w14:paraId="208EB491">
      <w:pPr>
        <w:jc w:val="left"/>
        <w:rPr>
          <w:rFonts w:hint="eastAsia" w:ascii="仿宋_GB2312" w:hAnsi="仿宋" w:eastAsia="仿宋_GB2312"/>
          <w:snapToGrid w:val="0"/>
          <w:kern w:val="56"/>
          <w:sz w:val="28"/>
          <w:szCs w:val="28"/>
          <w:lang w:eastAsia="zh-CN"/>
        </w:rPr>
      </w:pPr>
      <w:r>
        <w:rPr>
          <w:rFonts w:hint="eastAsia" w:ascii="仿宋_GB2312" w:hAnsi="仿宋" w:eastAsia="仿宋_GB2312"/>
          <w:snapToGrid w:val="0"/>
          <w:kern w:val="56"/>
          <w:sz w:val="28"/>
          <w:szCs w:val="28"/>
        </w:rPr>
        <w:t>用户所有检测记录可通过点击</w:t>
      </w:r>
      <w:r>
        <w:rPr>
          <w:rFonts w:hint="eastAsia" w:ascii="仿宋_GB2312" w:hAnsi="仿宋" w:eastAsia="仿宋_GB2312"/>
          <w:snapToGrid w:val="0"/>
          <w:kern w:val="56"/>
          <w:sz w:val="28"/>
          <w:szCs w:val="28"/>
          <w:lang w:val="en-US" w:eastAsia="zh-CN"/>
        </w:rPr>
        <w:t>右侧菜单栏</w:t>
      </w:r>
      <w:r>
        <w:rPr>
          <w:rFonts w:hint="eastAsia" w:ascii="仿宋_GB2312" w:hAnsi="仿宋" w:eastAsia="仿宋_GB2312"/>
          <w:snapToGrid w:val="0"/>
          <w:kern w:val="56"/>
          <w:sz w:val="28"/>
          <w:szCs w:val="28"/>
        </w:rPr>
        <w:t>中“检测报告”进行查阅</w:t>
      </w:r>
      <w:r>
        <w:rPr>
          <w:rFonts w:hint="eastAsia" w:ascii="仿宋_GB2312" w:hAnsi="仿宋" w:eastAsia="仿宋_GB2312"/>
          <w:snapToGrid w:val="0"/>
          <w:kern w:val="56"/>
          <w:sz w:val="28"/>
          <w:szCs w:val="28"/>
          <w:lang w:eastAsia="zh-CN"/>
        </w:rPr>
        <w:t>。</w:t>
      </w:r>
    </w:p>
    <w:p w14:paraId="5A75D35E">
      <w:pPr>
        <w:jc w:val="left"/>
        <w:rPr>
          <w:rFonts w:hint="default" w:ascii="仿宋_GB2312" w:hAnsi="仿宋" w:eastAsia="仿宋_GB2312"/>
          <w:snapToGrid w:val="0"/>
          <w:kern w:val="56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snapToGrid w:val="0"/>
          <w:kern w:val="56"/>
          <w:sz w:val="28"/>
          <w:szCs w:val="28"/>
        </w:rPr>
        <w:t>使用中有疑问可咨询在线客服</w:t>
      </w:r>
      <w:r>
        <w:rPr>
          <w:rFonts w:hint="eastAsia" w:ascii="仿宋_GB2312" w:hAnsi="仿宋" w:eastAsia="仿宋_GB2312"/>
          <w:snapToGrid w:val="0"/>
          <w:kern w:val="56"/>
          <w:sz w:val="28"/>
          <w:szCs w:val="28"/>
          <w:lang w:val="en-US" w:eastAsia="zh-CN"/>
        </w:rPr>
        <w:t>或</w:t>
      </w:r>
      <w:r>
        <w:rPr>
          <w:rFonts w:hint="eastAsia" w:ascii="仿宋_GB2312" w:hAnsi="仿宋" w:eastAsia="仿宋_GB2312"/>
          <w:snapToGrid w:val="0"/>
          <w:kern w:val="56"/>
          <w:sz w:val="28"/>
          <w:szCs w:val="28"/>
        </w:rPr>
        <w:t>加入QQ群进行咨询，群号</w:t>
      </w:r>
      <w:r>
        <w:rPr>
          <w:rFonts w:hint="eastAsia" w:ascii="仿宋_GB2312" w:hAnsi="仿宋" w:eastAsia="仿宋_GB2312"/>
          <w:snapToGrid w:val="0"/>
          <w:kern w:val="56"/>
          <w:sz w:val="28"/>
          <w:szCs w:val="28"/>
          <w:lang w:val="en-US" w:eastAsia="zh-CN"/>
        </w:rPr>
        <w:t>872541373</w:t>
      </w:r>
    </w:p>
    <w:p w14:paraId="1A6687FF">
      <w:pPr>
        <w:ind w:firstLine="640" w:firstLineChars="200"/>
        <w:rPr>
          <w:rFonts w:hint="eastAsia" w:ascii="仿宋_GB2312" w:hAnsi="仿宋" w:eastAsia="仿宋_GB2312"/>
          <w:snapToGrid w:val="0"/>
          <w:kern w:val="56"/>
          <w:sz w:val="32"/>
          <w:szCs w:val="32"/>
        </w:rPr>
      </w:pPr>
    </w:p>
    <w:p w14:paraId="33040E4B">
      <w:pPr>
        <w:spacing w:line="360" w:lineRule="auto"/>
        <w:rPr>
          <w:rFonts w:hint="eastAsia" w:asciiTheme="minorEastAsia" w:hAnsiTheme="minorEastAsia"/>
          <w:color w:val="FF0000"/>
          <w:sz w:val="24"/>
        </w:rPr>
      </w:pPr>
      <w:r>
        <w:drawing>
          <wp:inline distT="0" distB="0" distL="114300" distR="114300">
            <wp:extent cx="5269865" cy="2392045"/>
            <wp:effectExtent l="0" t="0" r="6985" b="825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61204">
      <w:pPr>
        <w:rPr>
          <w:rFonts w:ascii="宋体" w:hAnsi="宋体" w:eastAsia="宋体"/>
          <w:sz w:val="24"/>
        </w:rPr>
      </w:pPr>
    </w:p>
    <w:bookmarkEnd w:id="1"/>
    <w:bookmarkEnd w:id="2"/>
    <w:p w14:paraId="403BF0DA">
      <w:pPr>
        <w:spacing w:line="360" w:lineRule="auto"/>
        <w:jc w:val="center"/>
        <w:rPr>
          <w:rFonts w:asciiTheme="minorEastAsia" w:hAnsiTheme="minorEastAsia"/>
          <w:color w:val="FF0000"/>
          <w:sz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33F466">
    <w:pPr>
      <w:pStyle w:val="5"/>
      <w:pBdr>
        <w:bottom w:val="single" w:color="auto" w:sz="6" w:space="0"/>
      </w:pBdr>
      <w:jc w:val="left"/>
    </w:pPr>
    <w:r>
      <w:rPr>
        <w:rFonts w:hint="eastAsia" w:ascii="仿宋_GB2312" w:eastAsia="仿宋_GB2312"/>
        <w:b/>
        <w:sz w:val="21"/>
        <w:szCs w:val="21"/>
      </w:rPr>
      <w:t xml:space="preserve">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9C1516"/>
    <w:multiLevelType w:val="singleLevel"/>
    <w:tmpl w:val="979C1516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63F"/>
    <w:rsid w:val="00000393"/>
    <w:rsid w:val="000719B0"/>
    <w:rsid w:val="000C3483"/>
    <w:rsid w:val="000C79E5"/>
    <w:rsid w:val="00110225"/>
    <w:rsid w:val="001268D2"/>
    <w:rsid w:val="00136FE1"/>
    <w:rsid w:val="001474D4"/>
    <w:rsid w:val="00183BAE"/>
    <w:rsid w:val="00194643"/>
    <w:rsid w:val="00197DAA"/>
    <w:rsid w:val="001C1020"/>
    <w:rsid w:val="001C28E7"/>
    <w:rsid w:val="00211E60"/>
    <w:rsid w:val="00270798"/>
    <w:rsid w:val="002756C6"/>
    <w:rsid w:val="002875AD"/>
    <w:rsid w:val="002879C7"/>
    <w:rsid w:val="002B4785"/>
    <w:rsid w:val="002F2711"/>
    <w:rsid w:val="003278AF"/>
    <w:rsid w:val="0034374C"/>
    <w:rsid w:val="00361EC8"/>
    <w:rsid w:val="0037197A"/>
    <w:rsid w:val="00383D47"/>
    <w:rsid w:val="003858C6"/>
    <w:rsid w:val="00391F91"/>
    <w:rsid w:val="003B5DEB"/>
    <w:rsid w:val="003E442B"/>
    <w:rsid w:val="003E71A9"/>
    <w:rsid w:val="003F0D12"/>
    <w:rsid w:val="00407D69"/>
    <w:rsid w:val="004111B0"/>
    <w:rsid w:val="00422510"/>
    <w:rsid w:val="00422B34"/>
    <w:rsid w:val="004325F1"/>
    <w:rsid w:val="004562AF"/>
    <w:rsid w:val="004816C4"/>
    <w:rsid w:val="004A0B3C"/>
    <w:rsid w:val="004A18EE"/>
    <w:rsid w:val="004A4659"/>
    <w:rsid w:val="0053214B"/>
    <w:rsid w:val="005438F3"/>
    <w:rsid w:val="005875A6"/>
    <w:rsid w:val="005C3E6C"/>
    <w:rsid w:val="005D41D0"/>
    <w:rsid w:val="005E01BF"/>
    <w:rsid w:val="0062136E"/>
    <w:rsid w:val="00676DCB"/>
    <w:rsid w:val="006855BB"/>
    <w:rsid w:val="006C682C"/>
    <w:rsid w:val="006E57C8"/>
    <w:rsid w:val="006E5D0F"/>
    <w:rsid w:val="00716C44"/>
    <w:rsid w:val="007357BB"/>
    <w:rsid w:val="0075547A"/>
    <w:rsid w:val="00755D4B"/>
    <w:rsid w:val="00763151"/>
    <w:rsid w:val="00775119"/>
    <w:rsid w:val="007A127C"/>
    <w:rsid w:val="007F26E0"/>
    <w:rsid w:val="008402F8"/>
    <w:rsid w:val="00844BF2"/>
    <w:rsid w:val="00850EED"/>
    <w:rsid w:val="008608EF"/>
    <w:rsid w:val="0087416F"/>
    <w:rsid w:val="008975CD"/>
    <w:rsid w:val="008E4FF2"/>
    <w:rsid w:val="00904A49"/>
    <w:rsid w:val="00935655"/>
    <w:rsid w:val="00941835"/>
    <w:rsid w:val="009B592F"/>
    <w:rsid w:val="009E6475"/>
    <w:rsid w:val="00A32F61"/>
    <w:rsid w:val="00A4282C"/>
    <w:rsid w:val="00A46BE0"/>
    <w:rsid w:val="00A66A74"/>
    <w:rsid w:val="00A8554C"/>
    <w:rsid w:val="00AB163F"/>
    <w:rsid w:val="00B157DB"/>
    <w:rsid w:val="00B1733D"/>
    <w:rsid w:val="00B17AD3"/>
    <w:rsid w:val="00B310A0"/>
    <w:rsid w:val="00B37752"/>
    <w:rsid w:val="00BB49F6"/>
    <w:rsid w:val="00BD30C9"/>
    <w:rsid w:val="00BD3993"/>
    <w:rsid w:val="00BE4300"/>
    <w:rsid w:val="00C155D7"/>
    <w:rsid w:val="00C44772"/>
    <w:rsid w:val="00CA0D3D"/>
    <w:rsid w:val="00CC41C6"/>
    <w:rsid w:val="00CC7F90"/>
    <w:rsid w:val="00D02D6B"/>
    <w:rsid w:val="00D55F12"/>
    <w:rsid w:val="00D5722D"/>
    <w:rsid w:val="00D71238"/>
    <w:rsid w:val="00D94182"/>
    <w:rsid w:val="00DC4030"/>
    <w:rsid w:val="00E5540A"/>
    <w:rsid w:val="00ED58EC"/>
    <w:rsid w:val="00EE68ED"/>
    <w:rsid w:val="00F1106E"/>
    <w:rsid w:val="00F8773C"/>
    <w:rsid w:val="00FC65DC"/>
    <w:rsid w:val="00FE6FFF"/>
    <w:rsid w:val="07BA3684"/>
    <w:rsid w:val="1A862343"/>
    <w:rsid w:val="38575A30"/>
    <w:rsid w:val="3CFF5193"/>
    <w:rsid w:val="49CE566A"/>
    <w:rsid w:val="607F138B"/>
    <w:rsid w:val="67325F4E"/>
    <w:rsid w:val="715E3DDE"/>
    <w:rsid w:val="755E7B92"/>
    <w:rsid w:val="7586412E"/>
    <w:rsid w:val="782C44D6"/>
    <w:rsid w:val="7B107EDD"/>
    <w:rsid w:val="7EA56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20"/>
    <w:qFormat/>
    <w:uiPriority w:val="0"/>
    <w:rPr>
      <w:sz w:val="18"/>
      <w:szCs w:val="18"/>
    </w:rPr>
  </w:style>
  <w:style w:type="paragraph" w:styleId="4">
    <w:name w:val="footer"/>
    <w:basedOn w:val="1"/>
    <w:link w:val="22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2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rPr>
      <w:sz w:val="24"/>
    </w:rPr>
  </w:style>
  <w:style w:type="character" w:styleId="9">
    <w:name w:val="Strong"/>
    <w:basedOn w:val="8"/>
    <w:qFormat/>
    <w:uiPriority w:val="0"/>
  </w:style>
  <w:style w:type="character" w:styleId="10">
    <w:name w:val="FollowedHyperlink"/>
    <w:basedOn w:val="8"/>
    <w:qFormat/>
    <w:uiPriority w:val="0"/>
    <w:rPr>
      <w:color w:val="333333"/>
      <w:u w:val="none"/>
    </w:rPr>
  </w:style>
  <w:style w:type="character" w:styleId="11">
    <w:name w:val="Emphasis"/>
    <w:basedOn w:val="8"/>
    <w:qFormat/>
    <w:uiPriority w:val="0"/>
  </w:style>
  <w:style w:type="character" w:styleId="12">
    <w:name w:val="Hyperlink"/>
    <w:basedOn w:val="8"/>
    <w:qFormat/>
    <w:uiPriority w:val="0"/>
    <w:rPr>
      <w:color w:val="0000FF"/>
      <w:u w:val="single"/>
    </w:rPr>
  </w:style>
  <w:style w:type="character" w:styleId="13">
    <w:name w:val="HTML Cite"/>
    <w:basedOn w:val="8"/>
    <w:qFormat/>
    <w:uiPriority w:val="0"/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  <w:style w:type="character" w:customStyle="1" w:styleId="15">
    <w:name w:val="first-child"/>
    <w:basedOn w:val="8"/>
    <w:qFormat/>
    <w:uiPriority w:val="0"/>
  </w:style>
  <w:style w:type="paragraph" w:customStyle="1" w:styleId="16">
    <w:name w:val="vpcs-versionjs-p"/>
    <w:basedOn w:val="1"/>
    <w:qFormat/>
    <w:uiPriority w:val="0"/>
    <w:pPr>
      <w:jc w:val="left"/>
    </w:pPr>
    <w:rPr>
      <w:rFonts w:cs="Times New Roman"/>
      <w:kern w:val="0"/>
    </w:rPr>
  </w:style>
  <w:style w:type="character" w:customStyle="1" w:styleId="17">
    <w:name w:val="layui-layer-tabnow"/>
    <w:basedOn w:val="8"/>
    <w:qFormat/>
    <w:uiPriority w:val="0"/>
    <w:rPr>
      <w:bdr w:val="single" w:color="CCCCCC" w:sz="6" w:space="0"/>
      <w:shd w:val="clear" w:color="auto" w:fill="FFFFFF"/>
    </w:rPr>
  </w:style>
  <w:style w:type="paragraph" w:customStyle="1" w:styleId="18">
    <w:name w:val="_Style 14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9">
    <w:name w:val="_Style 15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20">
    <w:name w:val="批注框文本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1">
    <w:name w:val="页眉 字符"/>
    <w:basedOn w:val="8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2">
    <w:name w:val="页脚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23">
    <w:name w:val="List Paragraph"/>
    <w:basedOn w:val="1"/>
    <w:qFormat/>
    <w:uiPriority w:val="34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995</Words>
  <Characters>1093</Characters>
  <Lines>4</Lines>
  <Paragraphs>1</Paragraphs>
  <TotalTime>8</TotalTime>
  <ScaleCrop>false</ScaleCrop>
  <LinksUpToDate>false</LinksUpToDate>
  <CharactersWithSpaces>1110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2023-03-16T02:55:00Z</dcterms:created>
  <dc:creator>Administrator</dc:creator>
  <cp:lastModifiedBy>点点</cp:lastModifiedBy>
  <dcterms:modified xsi:type="dcterms:W3CDTF">2026-03-11T06:24:44Z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eyJoZGlkIjoiNmFiMjFkNzA0MmRkNWE4YjI1NWM5ZWYzNjkzOWQzNjQiLCJ1c2VySWQiOiIyNDYxNTExNjcifQ==</vt:lpwstr>
  </property>
  <property fmtid="{D5CDD505-2E9C-101B-9397-08002B2CF9AE}" pid="4" name="ICV">
    <vt:lpwstr>6C58706C4AC74339AB29E7DAE7A07A29_13</vt:lpwstr>
  </property>
</Properties>
</file>